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rPr>
          <w:rFonts w:ascii="方正小标宋简体" w:eastAsia="方正小标宋简体"/>
          <w:b/>
          <w:sz w:val="4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baseline"/>
        <w:rPr>
          <w:rFonts w:ascii="方正小标宋简体" w:eastAsia="方正小标宋简体"/>
          <w:b/>
          <w:bCs/>
          <w:sz w:val="44"/>
        </w:rPr>
      </w:pPr>
      <w:r>
        <w:rPr>
          <w:rFonts w:hint="eastAsia" w:ascii="方正小标宋简体" w:eastAsia="方正小标宋简体"/>
          <w:b/>
          <w:bCs/>
          <w:sz w:val="44"/>
        </w:rPr>
        <w:t>关于开展20</w:t>
      </w:r>
      <w:r>
        <w:rPr>
          <w:rFonts w:hint="eastAsia" w:ascii="方正小标宋简体" w:eastAsia="方正小标宋简体"/>
          <w:b/>
          <w:bCs/>
          <w:sz w:val="44"/>
          <w:lang w:val="en-US" w:eastAsia="zh-CN"/>
        </w:rPr>
        <w:t>21</w:t>
      </w:r>
      <w:r>
        <w:rPr>
          <w:rFonts w:hint="eastAsia" w:ascii="方正小标宋简体" w:eastAsia="方正小标宋简体"/>
          <w:b/>
          <w:bCs/>
          <w:sz w:val="44"/>
        </w:rPr>
        <w:t>年全国少年儿童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baseline"/>
        <w:rPr>
          <w:rFonts w:ascii="方正小标宋简体" w:eastAsia="方正小标宋简体"/>
          <w:b/>
          <w:bCs/>
          <w:sz w:val="44"/>
        </w:rPr>
      </w:pPr>
      <w:r>
        <w:rPr>
          <w:rFonts w:hint="eastAsia" w:ascii="方正小标宋简体" w:eastAsia="方正小标宋简体"/>
          <w:b/>
          <w:bCs/>
          <w:sz w:val="44"/>
        </w:rPr>
        <w:t>“双有”主题教育活动总结工作的通知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ascii="黑体" w:eastAsia="黑体"/>
          <w:sz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textAlignment w:val="baseline"/>
        <w:rPr>
          <w:rFonts w:ascii="仿宋_GB2312" w:hAnsi="仿宋" w:eastAsia="仿宋_GB2312"/>
          <w:b/>
          <w:sz w:val="32"/>
        </w:rPr>
      </w:pPr>
      <w:r>
        <w:rPr>
          <w:rFonts w:hint="eastAsia" w:ascii="仿宋_GB2312" w:hAnsi="仿宋" w:eastAsia="仿宋_GB2312"/>
          <w:b/>
          <w:sz w:val="32"/>
        </w:rPr>
        <w:t>各</w:t>
      </w:r>
      <w:r>
        <w:rPr>
          <w:rFonts w:hint="eastAsia" w:ascii="仿宋_GB2312" w:hAnsi="仿宋" w:eastAsia="仿宋_GB2312"/>
          <w:b/>
          <w:sz w:val="32"/>
          <w:lang w:val="en-US" w:eastAsia="zh-CN"/>
        </w:rPr>
        <w:t>相关</w:t>
      </w:r>
      <w:r>
        <w:rPr>
          <w:rFonts w:hint="eastAsia" w:ascii="仿宋_GB2312" w:hAnsi="仿宋" w:eastAsia="仿宋_GB2312"/>
          <w:b/>
          <w:sz w:val="32"/>
        </w:rPr>
        <w:t>单位：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hint="eastAsia" w:ascii="仿宋_GB2312" w:hAnsi="仿宋" w:eastAsia="仿宋_GB2312"/>
          <w:sz w:val="32"/>
          <w:lang w:val="en-US" w:eastAsia="zh-CN"/>
        </w:rPr>
      </w:pPr>
      <w:r>
        <w:rPr>
          <w:rFonts w:hint="eastAsia" w:ascii="仿宋_GB2312" w:hAnsi="仿宋" w:eastAsia="仿宋_GB2312"/>
          <w:sz w:val="32"/>
          <w:lang w:val="en-US" w:eastAsia="zh-CN"/>
        </w:rPr>
        <w:t>2021年，全国少年儿童“双有”活动组委会、中国儿童中心携手全国各地校外教育机构，紧紧围绕“童心向党 颂百年辉煌”主题，坚持以爱党、爱国、爱社会主义、爱人民、爱集体为主线，因地制宜开展系列主题教育活动。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hint="eastAsia" w:ascii="仿宋_GB2312" w:hAnsi="仿宋" w:eastAsia="仿宋_GB2312"/>
          <w:sz w:val="32"/>
          <w:lang w:val="en-US" w:eastAsia="zh-CN"/>
        </w:rPr>
      </w:pPr>
      <w:r>
        <w:rPr>
          <w:rFonts w:hint="eastAsia" w:ascii="仿宋_GB2312" w:hAnsi="仿宋" w:eastAsia="仿宋_GB2312"/>
          <w:sz w:val="32"/>
          <w:lang w:val="en-US" w:eastAsia="zh-CN"/>
        </w:rPr>
        <w:t>目前，全国“双有”活动工作已近尾声。为全面总结回顾2021年“双有”工作情况，分享和交流工作经验与成果，推动新时代“双有”主题教育活动创新发展，现将2021年“双有”总结工作的有关事项通知如下：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ind w:firstLine="640" w:firstLineChars="200"/>
        <w:textAlignment w:val="baseline"/>
        <w:rPr>
          <w:rFonts w:ascii="黑体" w:hAnsi="黑体" w:eastAsia="黑体"/>
          <w:color w:val="1F1F1F"/>
          <w:sz w:val="32"/>
        </w:rPr>
      </w:pPr>
      <w:r>
        <w:rPr>
          <w:rFonts w:hint="eastAsia" w:ascii="黑体" w:hAnsi="黑体" w:eastAsia="黑体"/>
          <w:color w:val="1F1F1F"/>
          <w:sz w:val="32"/>
        </w:rPr>
        <w:t>“双有”工作材料报送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baseline"/>
        <w:rPr>
          <w:rFonts w:hint="eastAsia" w:ascii="仿宋_GB2312" w:hAnsi="仿宋" w:eastAsia="仿宋_GB2312"/>
          <w:sz w:val="32"/>
        </w:rPr>
      </w:pPr>
      <w:r>
        <w:rPr>
          <w:rFonts w:hint="eastAsia" w:ascii="仿宋_GB2312" w:hAnsi="仿宋" w:eastAsia="仿宋_GB2312"/>
          <w:b/>
          <w:bCs/>
          <w:sz w:val="32"/>
        </w:rPr>
        <w:t>1.认真做好“双有”</w:t>
      </w:r>
      <w:r>
        <w:rPr>
          <w:rFonts w:hint="eastAsia" w:ascii="仿宋_GB2312" w:hAnsi="仿宋" w:eastAsia="仿宋_GB2312"/>
          <w:b/>
          <w:bCs/>
          <w:sz w:val="32"/>
          <w:lang w:eastAsia="zh-CN"/>
        </w:rPr>
        <w:t>活动</w:t>
      </w:r>
      <w:r>
        <w:rPr>
          <w:rFonts w:hint="eastAsia" w:ascii="仿宋_GB2312" w:hAnsi="仿宋" w:eastAsia="仿宋_GB2312"/>
          <w:b/>
          <w:bCs/>
          <w:sz w:val="32"/>
        </w:rPr>
        <w:t>单位的基本信息采集工作。</w:t>
      </w:r>
      <w:r>
        <w:rPr>
          <w:rFonts w:hint="eastAsia" w:ascii="仿宋_GB2312" w:hAnsi="仿宋" w:eastAsia="仿宋_GB2312"/>
          <w:sz w:val="32"/>
        </w:rPr>
        <w:t>请各单位按照要求，并结合当地实际情</w:t>
      </w:r>
      <w:r>
        <w:rPr>
          <w:rFonts w:hint="eastAsia" w:ascii="仿宋_GB2312" w:hAnsi="仿宋" w:eastAsia="仿宋_GB2312"/>
          <w:sz w:val="32"/>
          <w:highlight w:val="none"/>
        </w:rPr>
        <w:t>况，认真组织填写《</w:t>
      </w:r>
      <w:r>
        <w:rPr>
          <w:rFonts w:hint="eastAsia" w:ascii="仿宋_GB2312" w:hAnsi="仿宋" w:eastAsia="仿宋_GB2312"/>
          <w:bCs/>
          <w:sz w:val="32"/>
          <w:highlight w:val="none"/>
        </w:rPr>
        <w:t>20</w:t>
      </w:r>
      <w:r>
        <w:rPr>
          <w:rFonts w:hint="eastAsia" w:ascii="仿宋_GB2312" w:hAnsi="仿宋" w:eastAsia="仿宋_GB2312"/>
          <w:bCs/>
          <w:sz w:val="32"/>
          <w:highlight w:val="none"/>
          <w:lang w:val="en-US" w:eastAsia="zh-CN"/>
        </w:rPr>
        <w:t>21</w:t>
      </w:r>
      <w:r>
        <w:rPr>
          <w:rFonts w:hint="eastAsia" w:ascii="仿宋_GB2312" w:hAnsi="仿宋" w:eastAsia="仿宋_GB2312"/>
          <w:bCs/>
          <w:sz w:val="32"/>
          <w:highlight w:val="none"/>
        </w:rPr>
        <w:t>“双有”</w:t>
      </w:r>
      <w:r>
        <w:rPr>
          <w:rFonts w:hint="eastAsia" w:ascii="仿宋_GB2312" w:hAnsi="仿宋" w:eastAsia="仿宋_GB2312"/>
          <w:bCs/>
          <w:sz w:val="32"/>
          <w:highlight w:val="none"/>
          <w:lang w:eastAsia="zh-CN"/>
        </w:rPr>
        <w:t>活动</w:t>
      </w:r>
      <w:r>
        <w:rPr>
          <w:rFonts w:hint="eastAsia" w:ascii="仿宋_GB2312" w:hAnsi="仿宋" w:eastAsia="仿宋_GB2312"/>
          <w:bCs/>
          <w:sz w:val="32"/>
          <w:highlight w:val="none"/>
        </w:rPr>
        <w:t>单位信息采集</w:t>
      </w:r>
      <w:r>
        <w:rPr>
          <w:rFonts w:hint="eastAsia" w:ascii="仿宋_GB2312" w:hAnsi="仿宋" w:eastAsia="仿宋_GB2312"/>
          <w:sz w:val="32"/>
          <w:highlight w:val="none"/>
        </w:rPr>
        <w:t>》（详见附件1），</w:t>
      </w:r>
      <w:r>
        <w:rPr>
          <w:rFonts w:hint="eastAsia" w:ascii="仿宋_GB2312" w:hAnsi="仿宋" w:eastAsia="仿宋_GB2312"/>
          <w:sz w:val="32"/>
        </w:rPr>
        <w:t>以</w:t>
      </w:r>
      <w:r>
        <w:rPr>
          <w:rFonts w:ascii="仿宋_GB2312" w:hAnsi="仿宋" w:eastAsia="仿宋_GB2312"/>
          <w:sz w:val="32"/>
        </w:rPr>
        <w:t>利</w:t>
      </w:r>
      <w:r>
        <w:rPr>
          <w:rFonts w:hint="eastAsia" w:ascii="仿宋_GB2312" w:hAnsi="仿宋" w:eastAsia="仿宋_GB2312"/>
          <w:sz w:val="32"/>
          <w:lang w:eastAsia="zh-CN"/>
        </w:rPr>
        <w:t>于</w:t>
      </w:r>
      <w:r>
        <w:rPr>
          <w:rFonts w:hint="eastAsia" w:ascii="仿宋_GB2312" w:hAnsi="仿宋" w:eastAsia="仿宋_GB2312"/>
          <w:sz w:val="32"/>
        </w:rPr>
        <w:t>加强</w:t>
      </w:r>
      <w:r>
        <w:rPr>
          <w:rFonts w:ascii="仿宋_GB2312" w:hAnsi="仿宋" w:eastAsia="仿宋_GB2312"/>
          <w:sz w:val="32"/>
        </w:rPr>
        <w:t>共通共促</w:t>
      </w:r>
      <w:r>
        <w:rPr>
          <w:rFonts w:hint="eastAsia" w:ascii="仿宋_GB2312" w:hAnsi="仿宋" w:eastAsia="仿宋_GB2312"/>
          <w:sz w:val="32"/>
        </w:rPr>
        <w:t>的工作平台建设</w:t>
      </w:r>
      <w:r>
        <w:rPr>
          <w:rFonts w:ascii="仿宋_GB2312" w:hAnsi="仿宋" w:eastAsia="仿宋_GB2312"/>
          <w:sz w:val="32"/>
        </w:rPr>
        <w:t>，共同</w:t>
      </w:r>
      <w:r>
        <w:rPr>
          <w:rFonts w:hint="eastAsia" w:ascii="仿宋_GB2312" w:hAnsi="仿宋" w:eastAsia="仿宋_GB2312"/>
          <w:sz w:val="32"/>
        </w:rPr>
        <w:t>推进</w:t>
      </w:r>
      <w:r>
        <w:rPr>
          <w:rFonts w:ascii="仿宋_GB2312" w:hAnsi="仿宋" w:eastAsia="仿宋_GB2312"/>
          <w:sz w:val="32"/>
        </w:rPr>
        <w:t>校外</w:t>
      </w:r>
      <w:r>
        <w:rPr>
          <w:rFonts w:hint="eastAsia" w:ascii="仿宋_GB2312" w:hAnsi="仿宋" w:eastAsia="仿宋_GB2312"/>
          <w:sz w:val="32"/>
        </w:rPr>
        <w:t>德育</w:t>
      </w:r>
      <w:r>
        <w:rPr>
          <w:rFonts w:ascii="仿宋_GB2312" w:hAnsi="仿宋" w:eastAsia="仿宋_GB2312"/>
          <w:sz w:val="32"/>
        </w:rPr>
        <w:t>主题教育发展</w:t>
      </w:r>
      <w:r>
        <w:rPr>
          <w:rFonts w:hint="eastAsia" w:ascii="仿宋_GB2312" w:hAnsi="仿宋" w:eastAsia="仿宋_GB2312"/>
          <w:sz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baseline"/>
        <w:rPr>
          <w:rFonts w:ascii="仿宋_GB2312" w:hAnsi="仿宋" w:eastAsia="仿宋_GB2312"/>
          <w:sz w:val="32"/>
        </w:rPr>
      </w:pPr>
      <w:r>
        <w:rPr>
          <w:rFonts w:hint="eastAsia" w:ascii="仿宋_GB2312" w:hAnsi="仿宋" w:eastAsia="仿宋_GB2312"/>
          <w:b/>
          <w:bCs/>
          <w:sz w:val="32"/>
          <w:lang w:val="en-US" w:eastAsia="zh-CN"/>
        </w:rPr>
        <w:t>2.</w:t>
      </w:r>
      <w:r>
        <w:rPr>
          <w:rFonts w:hint="eastAsia" w:ascii="仿宋_GB2312" w:hAnsi="仿宋" w:eastAsia="仿宋_GB2312"/>
          <w:b/>
          <w:bCs/>
          <w:sz w:val="32"/>
        </w:rPr>
        <w:t>认真做好20</w:t>
      </w:r>
      <w:r>
        <w:rPr>
          <w:rFonts w:hint="eastAsia" w:ascii="仿宋_GB2312" w:hAnsi="仿宋" w:eastAsia="仿宋_GB2312"/>
          <w:b/>
          <w:bCs/>
          <w:sz w:val="32"/>
          <w:lang w:val="en-US" w:eastAsia="zh-CN"/>
        </w:rPr>
        <w:t>21</w:t>
      </w:r>
      <w:r>
        <w:rPr>
          <w:rFonts w:hint="eastAsia" w:ascii="仿宋_GB2312" w:hAnsi="仿宋" w:eastAsia="仿宋_GB2312"/>
          <w:b/>
          <w:bCs/>
          <w:sz w:val="32"/>
        </w:rPr>
        <w:t>年“双有”活动总结工作。</w:t>
      </w:r>
      <w:r>
        <w:rPr>
          <w:rFonts w:hint="eastAsia" w:ascii="仿宋_GB2312" w:hAnsi="仿宋" w:eastAsia="仿宋_GB2312"/>
          <w:sz w:val="32"/>
        </w:rPr>
        <w:t>请各单位紧紧围绕20</w:t>
      </w:r>
      <w:r>
        <w:rPr>
          <w:rFonts w:hint="eastAsia" w:ascii="仿宋_GB2312" w:hAnsi="仿宋" w:eastAsia="仿宋_GB2312"/>
          <w:sz w:val="32"/>
          <w:lang w:val="en-US" w:eastAsia="zh-CN"/>
        </w:rPr>
        <w:t>21</w:t>
      </w:r>
      <w:r>
        <w:rPr>
          <w:rFonts w:hint="eastAsia" w:ascii="仿宋_GB2312" w:hAnsi="仿宋" w:eastAsia="仿宋_GB2312"/>
          <w:sz w:val="32"/>
        </w:rPr>
        <w:t>年“</w:t>
      </w:r>
      <w:r>
        <w:rPr>
          <w:rFonts w:hint="eastAsia" w:ascii="仿宋_GB2312" w:hAnsi="仿宋" w:eastAsia="仿宋_GB2312"/>
          <w:sz w:val="32"/>
          <w:lang w:eastAsia="zh-CN"/>
        </w:rPr>
        <w:t>童心向党</w:t>
      </w:r>
      <w:r>
        <w:rPr>
          <w:rFonts w:hint="eastAsia" w:ascii="仿宋_GB2312" w:hAnsi="仿宋" w:eastAsia="仿宋_GB2312"/>
          <w:sz w:val="32"/>
          <w:lang w:val="en-US" w:eastAsia="zh-CN"/>
        </w:rPr>
        <w:t xml:space="preserve"> 颂百年辉煌</w:t>
      </w:r>
      <w:r>
        <w:rPr>
          <w:rFonts w:hint="eastAsia" w:ascii="仿宋_GB2312" w:hAnsi="仿宋" w:eastAsia="仿宋_GB2312"/>
          <w:sz w:val="32"/>
        </w:rPr>
        <w:t>”系列主题教育活动的安排，从各项活动开展情况、当地特色活动情况、媒体报道情况、组织运行机制</w:t>
      </w:r>
      <w:r>
        <w:rPr>
          <w:rFonts w:hint="eastAsia" w:ascii="仿宋_GB2312" w:hAnsi="仿宋" w:eastAsia="仿宋_GB2312"/>
          <w:sz w:val="32"/>
          <w:lang w:eastAsia="zh-CN"/>
        </w:rPr>
        <w:t>等</w:t>
      </w:r>
      <w:r>
        <w:rPr>
          <w:rFonts w:hint="eastAsia" w:ascii="仿宋_GB2312" w:hAnsi="仿宋" w:eastAsia="仿宋_GB2312"/>
          <w:sz w:val="32"/>
        </w:rPr>
        <w:t>方面进行</w:t>
      </w:r>
      <w:r>
        <w:rPr>
          <w:rFonts w:hint="eastAsia" w:ascii="仿宋_GB2312" w:hAnsi="仿宋" w:eastAsia="仿宋_GB2312"/>
          <w:sz w:val="32"/>
          <w:lang w:eastAsia="zh-CN"/>
        </w:rPr>
        <w:t>总结，</w:t>
      </w:r>
      <w:r>
        <w:rPr>
          <w:rFonts w:hint="eastAsia" w:ascii="仿宋_GB2312" w:hAnsi="仿宋" w:eastAsia="仿宋_GB2312"/>
          <w:sz w:val="32"/>
        </w:rPr>
        <w:t>形成《20</w:t>
      </w:r>
      <w:r>
        <w:rPr>
          <w:rFonts w:hint="eastAsia" w:ascii="仿宋_GB2312" w:hAnsi="仿宋" w:eastAsia="仿宋_GB2312"/>
          <w:sz w:val="32"/>
          <w:lang w:val="en-US" w:eastAsia="zh-CN"/>
        </w:rPr>
        <w:t>21</w:t>
      </w:r>
      <w:r>
        <w:rPr>
          <w:rFonts w:hint="eastAsia" w:ascii="仿宋_GB2312" w:hAnsi="仿宋" w:eastAsia="仿宋_GB2312"/>
          <w:sz w:val="32"/>
        </w:rPr>
        <w:t>年“双有”活动工作总结报告》（详见附件</w:t>
      </w:r>
      <w:r>
        <w:rPr>
          <w:rFonts w:hint="eastAsia" w:ascii="仿宋_GB2312" w:hAnsi="仿宋" w:eastAsia="仿宋_GB2312"/>
          <w:sz w:val="32"/>
          <w:lang w:val="en-US" w:eastAsia="zh-CN"/>
        </w:rPr>
        <w:t>2</w:t>
      </w:r>
      <w:r>
        <w:rPr>
          <w:rFonts w:hint="eastAsia" w:ascii="仿宋_GB2312" w:hAnsi="仿宋" w:eastAsia="仿宋_GB2312"/>
          <w:sz w:val="32"/>
        </w:rPr>
        <w:t>），报送</w:t>
      </w:r>
      <w:r>
        <w:rPr>
          <w:rFonts w:hint="eastAsia" w:ascii="仿宋_GB2312" w:hAnsi="仿宋" w:eastAsia="仿宋_GB2312"/>
          <w:sz w:val="32"/>
          <w:lang w:val="en-US" w:eastAsia="zh-CN"/>
        </w:rPr>
        <w:t>全国</w:t>
      </w:r>
      <w:r>
        <w:rPr>
          <w:rFonts w:hint="eastAsia" w:ascii="仿宋_GB2312" w:hAnsi="仿宋" w:eastAsia="仿宋_GB2312"/>
          <w:sz w:val="32"/>
        </w:rPr>
        <w:t>“双有”组委会，以利于组委会策划宣传活动、展示各地成果与亮点。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baseline"/>
        <w:rPr>
          <w:rFonts w:ascii="仿宋_GB2312" w:hAnsi="仿宋" w:eastAsia="仿宋_GB2312"/>
          <w:sz w:val="32"/>
        </w:rPr>
      </w:pPr>
      <w:r>
        <w:rPr>
          <w:rFonts w:hint="eastAsia" w:ascii="仿宋_GB2312" w:hAnsi="仿宋" w:eastAsia="仿宋_GB2312"/>
          <w:b/>
          <w:bCs/>
          <w:sz w:val="32"/>
          <w:lang w:val="en-US" w:eastAsia="zh-CN"/>
        </w:rPr>
        <w:t>3</w:t>
      </w:r>
      <w:r>
        <w:rPr>
          <w:rFonts w:hint="eastAsia" w:ascii="仿宋_GB2312" w:hAnsi="仿宋" w:eastAsia="仿宋_GB2312"/>
          <w:b/>
          <w:bCs/>
          <w:sz w:val="32"/>
        </w:rPr>
        <w:t>.认真做好活动特色案例推荐工作。</w:t>
      </w:r>
      <w:r>
        <w:rPr>
          <w:rFonts w:hint="eastAsia" w:ascii="仿宋_GB2312" w:hAnsi="仿宋" w:eastAsia="仿宋_GB2312"/>
          <w:sz w:val="32"/>
        </w:rPr>
        <w:t>为更好交流学习，组委会面向</w:t>
      </w:r>
      <w:r>
        <w:rPr>
          <w:rFonts w:hint="eastAsia" w:ascii="仿宋_GB2312" w:hAnsi="仿宋" w:eastAsia="仿宋_GB2312"/>
          <w:sz w:val="32"/>
          <w:lang w:eastAsia="zh-CN"/>
        </w:rPr>
        <w:t>全国</w:t>
      </w:r>
      <w:r>
        <w:rPr>
          <w:rFonts w:hint="eastAsia" w:ascii="仿宋_GB2312" w:hAnsi="仿宋" w:eastAsia="仿宋_GB2312"/>
          <w:sz w:val="32"/>
        </w:rPr>
        <w:t>各级、各类校外教育机构及社会教育机构，征集20</w:t>
      </w:r>
      <w:r>
        <w:rPr>
          <w:rFonts w:hint="eastAsia" w:ascii="仿宋_GB2312" w:hAnsi="仿宋" w:eastAsia="仿宋_GB2312"/>
          <w:sz w:val="32"/>
          <w:lang w:val="en-US" w:eastAsia="zh-CN"/>
        </w:rPr>
        <w:t>21</w:t>
      </w:r>
      <w:r>
        <w:rPr>
          <w:rFonts w:hint="eastAsia" w:ascii="仿宋_GB2312" w:hAnsi="仿宋" w:eastAsia="仿宋_GB2312"/>
          <w:sz w:val="32"/>
        </w:rPr>
        <w:t>年1月1日以来的主题教育活动优秀案例。请各单位按照要求，</w:t>
      </w:r>
      <w:r>
        <w:rPr>
          <w:rFonts w:hint="eastAsia" w:ascii="仿宋_GB2312" w:hAnsi="仿宋" w:eastAsia="仿宋_GB2312"/>
          <w:sz w:val="32"/>
          <w:lang w:eastAsia="zh-CN"/>
        </w:rPr>
        <w:t>组织撰写并推荐优秀活动案例</w:t>
      </w:r>
      <w:r>
        <w:rPr>
          <w:rFonts w:hint="eastAsia" w:ascii="仿宋_GB2312" w:hAnsi="仿宋" w:eastAsia="仿宋_GB2312"/>
          <w:sz w:val="32"/>
        </w:rPr>
        <w:t>（详见附件</w:t>
      </w:r>
      <w:r>
        <w:rPr>
          <w:rFonts w:hint="eastAsia" w:ascii="仿宋_GB2312" w:hAnsi="仿宋" w:eastAsia="仿宋_GB2312"/>
          <w:sz w:val="32"/>
          <w:lang w:val="en-US" w:eastAsia="zh-CN"/>
        </w:rPr>
        <w:t>3</w:t>
      </w:r>
      <w:r>
        <w:rPr>
          <w:rFonts w:hint="eastAsia" w:ascii="仿宋_GB2312" w:hAnsi="仿宋" w:eastAsia="仿宋_GB2312"/>
          <w:sz w:val="32"/>
        </w:rPr>
        <w:t>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baseline"/>
        <w:rPr>
          <w:rFonts w:ascii="仿宋_GB2312" w:hAnsi="仿宋" w:eastAsia="仿宋_GB2312"/>
          <w:sz w:val="32"/>
          <w:highlight w:val="none"/>
        </w:rPr>
      </w:pPr>
      <w:r>
        <w:rPr>
          <w:rFonts w:hint="eastAsia" w:ascii="仿宋_GB2312" w:hAnsi="仿宋" w:eastAsia="仿宋_GB2312"/>
          <w:b/>
          <w:bCs/>
          <w:sz w:val="32"/>
        </w:rPr>
        <w:t>4.认真做好活动成果</w:t>
      </w:r>
      <w:r>
        <w:rPr>
          <w:rFonts w:ascii="仿宋_GB2312" w:hAnsi="仿宋" w:eastAsia="仿宋_GB2312"/>
          <w:b/>
          <w:bCs/>
          <w:sz w:val="32"/>
        </w:rPr>
        <w:t>收集</w:t>
      </w:r>
      <w:r>
        <w:rPr>
          <w:rFonts w:hint="eastAsia" w:ascii="仿宋_GB2312" w:hAnsi="仿宋" w:eastAsia="仿宋_GB2312"/>
          <w:b/>
          <w:bCs/>
          <w:sz w:val="32"/>
        </w:rPr>
        <w:t>与</w:t>
      </w:r>
      <w:r>
        <w:rPr>
          <w:rFonts w:ascii="仿宋_GB2312" w:hAnsi="仿宋" w:eastAsia="仿宋_GB2312"/>
          <w:b/>
          <w:bCs/>
          <w:sz w:val="32"/>
        </w:rPr>
        <w:t>报送工作。</w:t>
      </w:r>
      <w:r>
        <w:rPr>
          <w:rFonts w:hint="eastAsia" w:ascii="仿宋_GB2312" w:hAnsi="仿宋" w:eastAsia="仿宋_GB2312"/>
          <w:sz w:val="32"/>
        </w:rPr>
        <w:t>请</w:t>
      </w:r>
      <w:r>
        <w:rPr>
          <w:rFonts w:ascii="仿宋_GB2312" w:hAnsi="仿宋" w:eastAsia="仿宋_GB2312"/>
          <w:sz w:val="32"/>
        </w:rPr>
        <w:t>按照</w:t>
      </w:r>
      <w:r>
        <w:rPr>
          <w:rFonts w:hint="eastAsia" w:ascii="仿宋_GB2312" w:hAnsi="仿宋" w:eastAsia="仿宋_GB2312"/>
          <w:sz w:val="32"/>
        </w:rPr>
        <w:t>《20</w:t>
      </w:r>
      <w:r>
        <w:rPr>
          <w:rFonts w:hint="eastAsia" w:ascii="仿宋_GB2312" w:hAnsi="仿宋" w:eastAsia="仿宋_GB2312"/>
          <w:sz w:val="32"/>
          <w:lang w:val="en-US" w:eastAsia="zh-CN"/>
        </w:rPr>
        <w:t>21年</w:t>
      </w:r>
      <w:r>
        <w:rPr>
          <w:rFonts w:hint="eastAsia" w:ascii="仿宋_GB2312" w:hAnsi="仿宋" w:eastAsia="仿宋_GB2312"/>
          <w:sz w:val="32"/>
        </w:rPr>
        <w:t>“双有”主题教育活动方案》的要求，</w:t>
      </w:r>
      <w:r>
        <w:rPr>
          <w:rFonts w:ascii="仿宋_GB2312" w:hAnsi="仿宋" w:eastAsia="仿宋_GB2312"/>
          <w:sz w:val="32"/>
        </w:rPr>
        <w:t>及时通过相应渠道报送活动</w:t>
      </w:r>
      <w:r>
        <w:rPr>
          <w:rFonts w:hint="eastAsia" w:ascii="仿宋_GB2312" w:hAnsi="仿宋" w:eastAsia="仿宋_GB2312"/>
          <w:sz w:val="32"/>
        </w:rPr>
        <w:t>成果，</w:t>
      </w:r>
      <w:r>
        <w:rPr>
          <w:rFonts w:ascii="仿宋_GB2312" w:hAnsi="仿宋" w:eastAsia="仿宋_GB2312"/>
          <w:sz w:val="32"/>
        </w:rPr>
        <w:t>包</w:t>
      </w:r>
      <w:r>
        <w:rPr>
          <w:rFonts w:ascii="仿宋_GB2312" w:hAnsi="仿宋" w:eastAsia="仿宋_GB2312"/>
          <w:sz w:val="32"/>
          <w:highlight w:val="none"/>
        </w:rPr>
        <w:t>括</w:t>
      </w:r>
      <w:r>
        <w:rPr>
          <w:rFonts w:hint="eastAsia" w:ascii="仿宋_GB2312" w:hAnsi="仿宋" w:eastAsia="仿宋_GB2312"/>
          <w:sz w:val="32"/>
          <w:highlight w:val="none"/>
        </w:rPr>
        <w:t>“</w:t>
      </w:r>
      <w:r>
        <w:rPr>
          <w:rFonts w:hint="eastAsia" w:ascii="仿宋_GB2312" w:hAnsi="仿宋" w:eastAsia="仿宋_GB2312"/>
          <w:sz w:val="32"/>
          <w:highlight w:val="none"/>
          <w:lang w:eastAsia="zh-CN"/>
        </w:rPr>
        <w:t>童声歌颂</w:t>
      </w:r>
      <w:r>
        <w:rPr>
          <w:rFonts w:hint="eastAsia" w:ascii="仿宋_GB2312" w:hAnsi="仿宋" w:eastAsia="仿宋_GB2312"/>
          <w:sz w:val="32"/>
          <w:highlight w:val="none"/>
        </w:rPr>
        <w:t xml:space="preserve"> </w:t>
      </w:r>
      <w:r>
        <w:rPr>
          <w:rFonts w:hint="eastAsia" w:ascii="仿宋_GB2312" w:hAnsi="仿宋" w:eastAsia="仿宋_GB2312"/>
          <w:sz w:val="32"/>
          <w:highlight w:val="none"/>
          <w:lang w:eastAsia="zh-CN"/>
        </w:rPr>
        <w:t>百年辉煌</w:t>
      </w:r>
      <w:r>
        <w:rPr>
          <w:rFonts w:hint="eastAsia" w:ascii="仿宋_GB2312" w:hAnsi="仿宋" w:eastAsia="仿宋_GB2312"/>
          <w:sz w:val="32"/>
          <w:highlight w:val="none"/>
        </w:rPr>
        <w:t>”</w:t>
      </w:r>
      <w:r>
        <w:rPr>
          <w:rFonts w:hint="eastAsia" w:ascii="仿宋_GB2312" w:hAnsi="仿宋" w:eastAsia="仿宋_GB2312"/>
          <w:sz w:val="32"/>
          <w:highlight w:val="none"/>
          <w:lang w:eastAsia="zh-CN"/>
        </w:rPr>
        <w:t>文艺汇演</w:t>
      </w:r>
      <w:r>
        <w:rPr>
          <w:rFonts w:hint="eastAsia" w:ascii="仿宋_GB2312" w:hAnsi="仿宋" w:eastAsia="仿宋_GB2312"/>
          <w:sz w:val="32"/>
          <w:highlight w:val="none"/>
        </w:rPr>
        <w:t>作品（</w:t>
      </w:r>
      <w:r>
        <w:rPr>
          <w:rFonts w:hint="eastAsia" w:ascii="仿宋_GB2312" w:hAnsi="仿宋" w:eastAsia="仿宋_GB2312"/>
          <w:sz w:val="32"/>
          <w:highlight w:val="none"/>
          <w:lang w:val="en-US" w:eastAsia="zh-CN"/>
        </w:rPr>
        <w:t>视频</w:t>
      </w:r>
      <w:r>
        <w:rPr>
          <w:rFonts w:hint="eastAsia" w:ascii="仿宋_GB2312" w:hAnsi="仿宋" w:eastAsia="仿宋_GB2312"/>
          <w:sz w:val="32"/>
          <w:highlight w:val="none"/>
        </w:rPr>
        <w:t>作品</w:t>
      </w:r>
      <w:r>
        <w:rPr>
          <w:rFonts w:ascii="仿宋_GB2312" w:hAnsi="仿宋" w:eastAsia="仿宋_GB2312"/>
          <w:sz w:val="32"/>
          <w:highlight w:val="none"/>
        </w:rPr>
        <w:t>、</w:t>
      </w:r>
      <w:r>
        <w:rPr>
          <w:rFonts w:hint="eastAsia" w:ascii="仿宋_GB2312" w:hAnsi="仿宋" w:eastAsia="仿宋_GB2312"/>
          <w:sz w:val="32"/>
          <w:highlight w:val="none"/>
        </w:rPr>
        <w:t>信息</w:t>
      </w:r>
      <w:r>
        <w:rPr>
          <w:rFonts w:ascii="仿宋_GB2312" w:hAnsi="仿宋" w:eastAsia="仿宋_GB2312"/>
          <w:sz w:val="32"/>
          <w:highlight w:val="none"/>
        </w:rPr>
        <w:t>统计表</w:t>
      </w:r>
      <w:r>
        <w:rPr>
          <w:rFonts w:hint="eastAsia" w:ascii="仿宋_GB2312" w:hAnsi="仿宋" w:eastAsia="仿宋_GB2312"/>
          <w:sz w:val="32"/>
          <w:highlight w:val="none"/>
        </w:rPr>
        <w:t>）</w:t>
      </w:r>
      <w:r>
        <w:rPr>
          <w:rFonts w:ascii="仿宋_GB2312" w:hAnsi="仿宋" w:eastAsia="仿宋_GB2312"/>
          <w:sz w:val="32"/>
          <w:highlight w:val="none"/>
        </w:rPr>
        <w:t>、</w:t>
      </w:r>
      <w:r>
        <w:rPr>
          <w:rFonts w:hint="eastAsia" w:ascii="仿宋_GB2312" w:hAnsi="仿宋" w:eastAsia="仿宋_GB2312"/>
          <w:sz w:val="32"/>
          <w:highlight w:val="none"/>
          <w:lang w:eastAsia="zh-CN"/>
        </w:rPr>
        <w:t>“大国少年”系列</w:t>
      </w:r>
      <w:r>
        <w:rPr>
          <w:rFonts w:hint="eastAsia" w:ascii="仿宋_GB2312" w:hAnsi="仿宋" w:eastAsia="仿宋_GB2312"/>
          <w:sz w:val="32"/>
          <w:highlight w:val="none"/>
        </w:rPr>
        <w:t>研学活动（方案、</w:t>
      </w:r>
      <w:r>
        <w:rPr>
          <w:rFonts w:ascii="仿宋_GB2312" w:hAnsi="仿宋" w:eastAsia="仿宋_GB2312"/>
          <w:sz w:val="32"/>
          <w:highlight w:val="none"/>
        </w:rPr>
        <w:t>案例</w:t>
      </w:r>
      <w:r>
        <w:rPr>
          <w:rFonts w:hint="eastAsia" w:ascii="仿宋_GB2312" w:hAnsi="仿宋" w:eastAsia="仿宋_GB2312"/>
          <w:sz w:val="32"/>
          <w:highlight w:val="none"/>
        </w:rPr>
        <w:t>/线路）</w:t>
      </w:r>
      <w:r>
        <w:rPr>
          <w:rFonts w:ascii="仿宋_GB2312" w:hAnsi="仿宋" w:eastAsia="仿宋_GB2312"/>
          <w:sz w:val="32"/>
          <w:highlight w:val="none"/>
        </w:rPr>
        <w:t>、</w:t>
      </w:r>
      <w:r>
        <w:rPr>
          <w:rFonts w:hint="eastAsia" w:ascii="仿宋_GB2312" w:hAnsi="仿宋" w:eastAsia="仿宋_GB2312"/>
          <w:sz w:val="32"/>
          <w:highlight w:val="none"/>
        </w:rPr>
        <w:t>“身边的榜样”全国少年儿童图文创作大赛</w:t>
      </w:r>
      <w:r>
        <w:rPr>
          <w:rFonts w:hint="eastAsia" w:ascii="仿宋_GB2312" w:hAnsi="仿宋" w:eastAsia="仿宋_GB2312"/>
          <w:sz w:val="32"/>
          <w:highlight w:val="none"/>
          <w:lang w:eastAsia="zh-CN"/>
        </w:rPr>
        <w:t>（作品及信息）、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“</w:t>
      </w:r>
      <w:r>
        <w:rPr>
          <w:rFonts w:hint="eastAsia" w:ascii="仿宋_GB2312" w:hAnsi="仿宋" w:eastAsia="仿宋_GB2312"/>
          <w:sz w:val="32"/>
          <w:highlight w:val="none"/>
          <w:lang w:eastAsia="zh-CN"/>
        </w:rPr>
        <w:t>多样世界</w:t>
      </w:r>
      <w:r>
        <w:rPr>
          <w:rFonts w:hint="eastAsia" w:ascii="仿宋_GB2312" w:hAnsi="仿宋" w:eastAsia="仿宋_GB2312"/>
          <w:sz w:val="32"/>
          <w:highlight w:val="none"/>
        </w:rPr>
        <w:t xml:space="preserve"> </w:t>
      </w:r>
      <w:r>
        <w:rPr>
          <w:rFonts w:hint="eastAsia" w:ascii="仿宋_GB2312" w:hAnsi="仿宋" w:eastAsia="仿宋_GB2312"/>
          <w:sz w:val="32"/>
          <w:highlight w:val="none"/>
          <w:lang w:eastAsia="zh-CN"/>
        </w:rPr>
        <w:t>幸福童年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”短视频</w:t>
      </w:r>
      <w:r>
        <w:rPr>
          <w:rFonts w:ascii="仿宋_GB2312" w:hAnsi="仿宋" w:eastAsia="仿宋_GB2312"/>
          <w:color w:val="000000"/>
          <w:sz w:val="32"/>
          <w:szCs w:val="32"/>
          <w:highlight w:val="none"/>
        </w:rPr>
        <w:t>征集活动</w:t>
      </w:r>
      <w:r>
        <w:rPr>
          <w:rFonts w:hint="eastAsia" w:ascii="仿宋_GB2312" w:hAnsi="仿宋" w:eastAsia="仿宋_GB2312"/>
          <w:sz w:val="32"/>
          <w:highlight w:val="none"/>
        </w:rPr>
        <w:t>（</w:t>
      </w:r>
      <w:r>
        <w:rPr>
          <w:rFonts w:hint="eastAsia" w:ascii="仿宋_GB2312" w:hAnsi="仿宋" w:eastAsia="仿宋_GB2312"/>
          <w:sz w:val="32"/>
          <w:highlight w:val="none"/>
          <w:lang w:val="en-US" w:eastAsia="zh-CN"/>
        </w:rPr>
        <w:t>方案</w:t>
      </w:r>
      <w:r>
        <w:rPr>
          <w:rFonts w:ascii="仿宋_GB2312" w:hAnsi="仿宋" w:eastAsia="仿宋_GB2312"/>
          <w:sz w:val="32"/>
          <w:highlight w:val="none"/>
        </w:rPr>
        <w:t>、视频</w:t>
      </w:r>
      <w:r>
        <w:rPr>
          <w:rFonts w:hint="eastAsia" w:ascii="仿宋_GB2312" w:hAnsi="仿宋" w:eastAsia="仿宋_GB2312"/>
          <w:sz w:val="32"/>
          <w:highlight w:val="none"/>
          <w:lang w:eastAsia="zh-CN"/>
        </w:rPr>
        <w:t>作品及信息</w:t>
      </w:r>
      <w:r>
        <w:rPr>
          <w:rFonts w:ascii="仿宋_GB2312" w:hAnsi="仿宋" w:eastAsia="仿宋_GB2312"/>
          <w:sz w:val="32"/>
          <w:highlight w:val="none"/>
        </w:rPr>
        <w:t>统计表</w:t>
      </w:r>
      <w:r>
        <w:rPr>
          <w:rFonts w:hint="eastAsia" w:ascii="仿宋_GB2312" w:hAnsi="仿宋" w:eastAsia="仿宋_GB2312"/>
          <w:sz w:val="32"/>
          <w:highlight w:val="none"/>
        </w:rPr>
        <w:t>）、“我是小小中国通”全国少年儿童百科知识大挑战（方案、</w:t>
      </w:r>
      <w:r>
        <w:rPr>
          <w:rFonts w:hint="eastAsia" w:ascii="仿宋_GB2312" w:hAnsi="仿宋" w:eastAsia="仿宋_GB2312"/>
          <w:sz w:val="32"/>
          <w:highlight w:val="none"/>
          <w:lang w:eastAsia="zh-CN"/>
        </w:rPr>
        <w:t>案例</w:t>
      </w:r>
      <w:r>
        <w:rPr>
          <w:rFonts w:hint="eastAsia" w:ascii="仿宋_GB2312" w:hAnsi="仿宋" w:eastAsia="仿宋_GB2312"/>
          <w:sz w:val="32"/>
          <w:highlight w:val="none"/>
        </w:rPr>
        <w:t>）</w:t>
      </w:r>
      <w:r>
        <w:rPr>
          <w:rFonts w:hint="eastAsia" w:ascii="仿宋_GB2312" w:hAnsi="仿宋" w:eastAsia="仿宋_GB2312"/>
          <w:sz w:val="32"/>
          <w:highlight w:val="none"/>
          <w:lang w:eastAsia="zh-CN"/>
        </w:rPr>
        <w:t>、“童鞋奔跑  用爱陪伴”全国少年儿童公益行动（方案、案例）</w:t>
      </w:r>
      <w:r>
        <w:rPr>
          <w:rFonts w:hint="eastAsia" w:ascii="仿宋_GB2312" w:hAnsi="仿宋" w:eastAsia="仿宋_GB2312"/>
          <w:sz w:val="32"/>
          <w:highlight w:val="none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ind w:firstLine="640" w:firstLineChars="200"/>
        <w:textAlignment w:val="baseline"/>
        <w:rPr>
          <w:rFonts w:ascii="黑体" w:hAnsi="黑体" w:eastAsia="黑体"/>
          <w:color w:val="1F1F1F"/>
          <w:sz w:val="32"/>
        </w:rPr>
      </w:pPr>
      <w:r>
        <w:rPr>
          <w:rFonts w:hint="eastAsia" w:ascii="黑体" w:hAnsi="黑体" w:eastAsia="黑体"/>
          <w:color w:val="1F1F1F"/>
          <w:sz w:val="32"/>
        </w:rPr>
        <w:t>“双有”活动先进典型推荐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baseline"/>
        <w:rPr>
          <w:rFonts w:ascii="仿宋_GB2312" w:hAnsi="仿宋" w:eastAsia="仿宋_GB2312"/>
          <w:sz w:val="32"/>
        </w:rPr>
      </w:pPr>
      <w:r>
        <w:rPr>
          <w:rFonts w:hint="eastAsia" w:ascii="仿宋_GB2312" w:hAnsi="仿宋" w:eastAsia="仿宋_GB2312"/>
          <w:b/>
          <w:bCs/>
          <w:color w:val="1F1F1F"/>
          <w:sz w:val="32"/>
        </w:rPr>
        <w:t>1.</w:t>
      </w:r>
      <w:r>
        <w:rPr>
          <w:rFonts w:hint="eastAsia" w:ascii="仿宋_GB2312" w:hAnsi="仿宋" w:eastAsia="仿宋_GB2312"/>
          <w:b/>
          <w:bCs/>
          <w:spacing w:val="-5"/>
          <w:sz w:val="32"/>
        </w:rPr>
        <w:t>认真做好</w:t>
      </w:r>
      <w:r>
        <w:rPr>
          <w:rFonts w:hint="eastAsia" w:ascii="仿宋_GB2312" w:hAnsi="仿宋" w:eastAsia="仿宋_GB2312"/>
          <w:b/>
          <w:bCs/>
          <w:spacing w:val="-5"/>
          <w:sz w:val="32"/>
          <w:lang w:val="en-US" w:eastAsia="zh-CN"/>
        </w:rPr>
        <w:t>2021</w:t>
      </w:r>
      <w:r>
        <w:rPr>
          <w:rFonts w:hint="eastAsia" w:ascii="仿宋_GB2312" w:hAnsi="仿宋" w:eastAsia="仿宋_GB2312"/>
          <w:b/>
          <w:bCs/>
          <w:spacing w:val="-5"/>
          <w:sz w:val="32"/>
        </w:rPr>
        <w:t>年“双有”活动先进典型推荐申报工作。</w:t>
      </w:r>
      <w:r>
        <w:rPr>
          <w:rFonts w:hint="eastAsia" w:ascii="仿宋_GB2312" w:hAnsi="仿宋" w:eastAsia="仿宋_GB2312"/>
          <w:spacing w:val="-5"/>
          <w:sz w:val="32"/>
        </w:rPr>
        <w:t>“双有”活动的顺利开展得益于全国各地合作单位的积极参与和支持，是全国校外教育工作者和</w:t>
      </w:r>
      <w:r>
        <w:rPr>
          <w:rFonts w:hint="eastAsia" w:ascii="仿宋_GB2312" w:hAnsi="仿宋" w:eastAsia="仿宋_GB2312"/>
          <w:spacing w:val="-5"/>
          <w:sz w:val="32"/>
          <w:lang w:val="en-US" w:eastAsia="zh-CN"/>
        </w:rPr>
        <w:t>学校</w:t>
      </w:r>
      <w:r>
        <w:rPr>
          <w:rFonts w:hint="eastAsia" w:ascii="仿宋_GB2312" w:hAnsi="仿宋" w:eastAsia="仿宋_GB2312"/>
          <w:spacing w:val="-5"/>
          <w:sz w:val="32"/>
        </w:rPr>
        <w:t>教师共同努力的结果。“双有”年度先进典型分为“先进单位”、</w:t>
      </w:r>
      <w:r>
        <w:rPr>
          <w:rFonts w:hint="eastAsia" w:ascii="仿宋_GB2312" w:hAnsi="仿宋" w:eastAsia="仿宋_GB2312"/>
          <w:sz w:val="32"/>
        </w:rPr>
        <w:t>“先进集体”和“先进个人”。其中，“先进单位”无须单独申报，组委会将按照各单位工作总结报告评选认定。“先进集体”和“先进个人”两项，请各单位按照以下要求，并结合当地工作实际，认真组织推荐申报工作，填报《先进集体、先进个人推荐汇总表》（详见附件</w:t>
      </w:r>
      <w:r>
        <w:rPr>
          <w:rFonts w:hint="eastAsia" w:ascii="仿宋_GB2312" w:hAnsi="仿宋" w:eastAsia="仿宋_GB2312"/>
          <w:sz w:val="32"/>
          <w:lang w:val="en-US" w:eastAsia="zh-CN"/>
        </w:rPr>
        <w:t>4</w:t>
      </w:r>
      <w:r>
        <w:rPr>
          <w:rFonts w:hint="eastAsia" w:ascii="仿宋_GB2312" w:hAnsi="仿宋" w:eastAsia="仿宋_GB2312"/>
          <w:sz w:val="32"/>
        </w:rPr>
        <w:t>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baseline"/>
        <w:rPr>
          <w:rFonts w:ascii="仿宋_GB2312" w:hAnsi="仿宋" w:eastAsia="仿宋_GB2312"/>
          <w:sz w:val="32"/>
        </w:rPr>
      </w:pPr>
      <w:r>
        <w:rPr>
          <w:rFonts w:hint="eastAsia" w:ascii="仿宋_GB2312" w:hAnsi="仿宋" w:eastAsia="仿宋_GB2312"/>
          <w:b/>
          <w:bCs/>
          <w:sz w:val="32"/>
        </w:rPr>
        <w:t>2.</w:t>
      </w:r>
      <w:r>
        <w:rPr>
          <w:rFonts w:hint="eastAsia" w:ascii="仿宋_GB2312" w:hAnsi="仿宋" w:eastAsia="仿宋_GB2312"/>
          <w:b/>
          <w:bCs/>
          <w:sz w:val="32"/>
          <w:lang w:eastAsia="zh-CN"/>
        </w:rPr>
        <w:t>关于</w:t>
      </w:r>
      <w:r>
        <w:rPr>
          <w:rFonts w:hint="eastAsia" w:ascii="仿宋_GB2312" w:hAnsi="仿宋" w:eastAsia="仿宋_GB2312"/>
          <w:b/>
          <w:bCs/>
          <w:spacing w:val="-5"/>
          <w:sz w:val="32"/>
        </w:rPr>
        <w:t>20</w:t>
      </w:r>
      <w:r>
        <w:rPr>
          <w:rFonts w:hint="eastAsia" w:ascii="仿宋_GB2312" w:hAnsi="仿宋" w:eastAsia="仿宋_GB2312"/>
          <w:b/>
          <w:bCs/>
          <w:spacing w:val="-5"/>
          <w:sz w:val="32"/>
          <w:lang w:val="en-US" w:eastAsia="zh-CN"/>
        </w:rPr>
        <w:t>21年</w:t>
      </w:r>
      <w:r>
        <w:rPr>
          <w:rFonts w:hint="eastAsia" w:ascii="仿宋_GB2312" w:hAnsi="仿宋" w:eastAsia="仿宋_GB2312"/>
          <w:b/>
          <w:bCs/>
          <w:spacing w:val="-5"/>
          <w:sz w:val="32"/>
        </w:rPr>
        <w:t>“双有”活动年度先进典型审定颁发工作。</w:t>
      </w:r>
      <w:r>
        <w:rPr>
          <w:rFonts w:hint="eastAsia" w:ascii="仿宋_GB2312" w:hAnsi="仿宋" w:eastAsia="仿宋_GB2312"/>
          <w:spacing w:val="-5"/>
          <w:sz w:val="32"/>
          <w:highlight w:val="none"/>
          <w:lang w:val="en-US" w:eastAsia="zh-CN"/>
        </w:rPr>
        <w:t>本年度“双有”活动先进单位、集体、个人证书及各项活动证书均以电子证书形式发放，不再邮寄纸质证书。</w:t>
      </w:r>
      <w:r>
        <w:rPr>
          <w:rFonts w:hint="eastAsia" w:ascii="仿宋_GB2312" w:hAnsi="仿宋" w:eastAsia="仿宋_GB2312"/>
          <w:spacing w:val="-5"/>
          <w:sz w:val="32"/>
          <w:highlight w:val="none"/>
        </w:rPr>
        <w:t>全国“双有”组委会将在各单位申报推荐的基础上，根据工作总结和申报推荐材料进行审核确定，并于20</w:t>
      </w:r>
      <w:r>
        <w:rPr>
          <w:rFonts w:hint="eastAsia" w:ascii="仿宋_GB2312" w:hAnsi="仿宋" w:eastAsia="仿宋_GB2312"/>
          <w:spacing w:val="-5"/>
          <w:sz w:val="32"/>
          <w:highlight w:val="none"/>
          <w:lang w:val="en-US" w:eastAsia="zh-CN"/>
        </w:rPr>
        <w:t>21</w:t>
      </w:r>
      <w:r>
        <w:rPr>
          <w:rFonts w:hint="eastAsia" w:ascii="仿宋_GB2312" w:hAnsi="仿宋" w:eastAsia="仿宋_GB2312"/>
          <w:spacing w:val="-5"/>
          <w:sz w:val="32"/>
          <w:highlight w:val="none"/>
        </w:rPr>
        <w:t>年底</w:t>
      </w:r>
      <w:r>
        <w:rPr>
          <w:rFonts w:hint="eastAsia" w:ascii="仿宋_GB2312" w:hAnsi="仿宋" w:eastAsia="仿宋_GB2312"/>
          <w:spacing w:val="-5"/>
          <w:sz w:val="32"/>
          <w:highlight w:val="none"/>
          <w:lang w:eastAsia="zh-CN"/>
        </w:rPr>
        <w:t>公布电子证书申请系统（电子证书申请操作指南另行通知）</w:t>
      </w:r>
      <w:r>
        <w:rPr>
          <w:rFonts w:hint="eastAsia" w:ascii="仿宋_GB2312" w:hAnsi="仿宋" w:eastAsia="仿宋_GB2312"/>
          <w:spacing w:val="-5"/>
          <w:sz w:val="32"/>
          <w:highlight w:val="none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ind w:firstLine="640" w:firstLineChars="200"/>
        <w:textAlignment w:val="baseline"/>
        <w:rPr>
          <w:rFonts w:ascii="黑体" w:hAnsi="黑体" w:eastAsia="黑体"/>
          <w:color w:val="1F1F1F"/>
          <w:sz w:val="32"/>
        </w:rPr>
      </w:pPr>
      <w:r>
        <w:rPr>
          <w:rFonts w:hint="eastAsia" w:ascii="黑体" w:hAnsi="黑体" w:eastAsia="黑体"/>
          <w:color w:val="1F1F1F"/>
          <w:sz w:val="32"/>
        </w:rPr>
        <w:t>20</w:t>
      </w:r>
      <w:r>
        <w:rPr>
          <w:rFonts w:hint="eastAsia" w:ascii="黑体" w:hAnsi="黑体" w:eastAsia="黑体"/>
          <w:color w:val="1F1F1F"/>
          <w:sz w:val="32"/>
          <w:lang w:val="en-US" w:eastAsia="zh-CN"/>
        </w:rPr>
        <w:t>21</w:t>
      </w:r>
      <w:r>
        <w:rPr>
          <w:rFonts w:hint="eastAsia" w:ascii="黑体" w:hAnsi="黑体" w:eastAsia="黑体"/>
          <w:color w:val="1F1F1F"/>
          <w:sz w:val="32"/>
        </w:rPr>
        <w:t>年“双有”活动总结暨研讨</w:t>
      </w:r>
      <w:r>
        <w:rPr>
          <w:rFonts w:hint="eastAsia" w:ascii="黑体" w:hAnsi="黑体" w:eastAsia="黑体"/>
          <w:color w:val="1F1F1F"/>
          <w:sz w:val="32"/>
          <w:lang w:eastAsia="zh-CN"/>
        </w:rPr>
        <w:t>交流活动</w:t>
      </w:r>
      <w:r>
        <w:rPr>
          <w:rFonts w:hint="eastAsia" w:ascii="黑体" w:hAnsi="黑体" w:eastAsia="黑体"/>
          <w:color w:val="1F1F1F"/>
          <w:sz w:val="32"/>
        </w:rPr>
        <w:t>安排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textAlignment w:val="baseline"/>
        <w:rPr>
          <w:rFonts w:ascii="仿宋_GB2312" w:hAnsi="仿宋" w:eastAsia="仿宋_GB2312"/>
          <w:bCs/>
          <w:spacing w:val="-5"/>
          <w:sz w:val="32"/>
          <w:highlight w:val="none"/>
        </w:rPr>
      </w:pPr>
      <w:r>
        <w:rPr>
          <w:rFonts w:hint="eastAsia" w:ascii="仿宋_GB2312" w:hAnsi="仿宋" w:eastAsia="仿宋_GB2312"/>
          <w:spacing w:val="-5"/>
          <w:sz w:val="32"/>
        </w:rPr>
        <w:t>为落实立德树人根本任务，强化“双有”活动的德育属性和育人功能，推动校外教育的</w:t>
      </w:r>
      <w:r>
        <w:rPr>
          <w:rFonts w:hint="eastAsia" w:ascii="仿宋_GB2312" w:hAnsi="仿宋" w:eastAsia="仿宋_GB2312"/>
          <w:spacing w:val="-5"/>
          <w:sz w:val="32"/>
          <w:lang w:eastAsia="zh-CN"/>
        </w:rPr>
        <w:t>创新</w:t>
      </w:r>
      <w:r>
        <w:rPr>
          <w:rFonts w:hint="eastAsia" w:ascii="仿宋_GB2312" w:hAnsi="仿宋" w:eastAsia="仿宋_GB2312"/>
          <w:spacing w:val="-5"/>
          <w:sz w:val="32"/>
        </w:rPr>
        <w:t>发展，全国少年儿童“双有”主题教育活动组委会、中国</w:t>
      </w:r>
      <w:r>
        <w:rPr>
          <w:rFonts w:hint="eastAsia" w:ascii="仿宋_GB2312" w:hAnsi="仿宋" w:eastAsia="仿宋_GB2312"/>
          <w:spacing w:val="-5"/>
          <w:sz w:val="32"/>
          <w:highlight w:val="none"/>
        </w:rPr>
        <w:t>儿童中心拟于20</w:t>
      </w:r>
      <w:r>
        <w:rPr>
          <w:rFonts w:hint="eastAsia" w:ascii="仿宋_GB2312" w:hAnsi="仿宋" w:eastAsia="仿宋_GB2312"/>
          <w:spacing w:val="-5"/>
          <w:sz w:val="32"/>
          <w:highlight w:val="none"/>
          <w:lang w:val="en-US" w:eastAsia="zh-CN"/>
        </w:rPr>
        <w:t>21</w:t>
      </w:r>
      <w:r>
        <w:rPr>
          <w:rFonts w:hint="eastAsia" w:ascii="仿宋_GB2312" w:hAnsi="仿宋" w:eastAsia="仿宋_GB2312"/>
          <w:spacing w:val="-5"/>
          <w:sz w:val="32"/>
          <w:highlight w:val="none"/>
        </w:rPr>
        <w:t>年1</w:t>
      </w:r>
      <w:r>
        <w:rPr>
          <w:rFonts w:hint="eastAsia" w:ascii="仿宋_GB2312" w:hAnsi="仿宋" w:eastAsia="仿宋_GB2312"/>
          <w:spacing w:val="-5"/>
          <w:sz w:val="32"/>
          <w:highlight w:val="none"/>
          <w:lang w:val="en-US" w:eastAsia="zh-CN"/>
        </w:rPr>
        <w:t>0</w:t>
      </w:r>
      <w:r>
        <w:rPr>
          <w:rFonts w:hint="eastAsia" w:ascii="仿宋_GB2312" w:hAnsi="仿宋" w:eastAsia="仿宋_GB2312"/>
          <w:spacing w:val="-5"/>
          <w:sz w:val="32"/>
          <w:highlight w:val="none"/>
        </w:rPr>
        <w:t>月</w:t>
      </w:r>
      <w:r>
        <w:rPr>
          <w:rFonts w:hint="eastAsia" w:ascii="仿宋_GB2312" w:hAnsi="仿宋" w:eastAsia="仿宋_GB2312"/>
          <w:spacing w:val="-5"/>
          <w:sz w:val="32"/>
          <w:highlight w:val="none"/>
          <w:lang w:eastAsia="zh-CN"/>
        </w:rPr>
        <w:t>底</w:t>
      </w:r>
      <w:r>
        <w:rPr>
          <w:rFonts w:hint="eastAsia" w:ascii="仿宋_GB2312" w:hAnsi="仿宋" w:eastAsia="仿宋_GB2312"/>
          <w:spacing w:val="-5"/>
          <w:sz w:val="32"/>
          <w:highlight w:val="none"/>
        </w:rPr>
        <w:t>举办“20</w:t>
      </w:r>
      <w:r>
        <w:rPr>
          <w:rFonts w:hint="eastAsia" w:ascii="仿宋_GB2312" w:hAnsi="仿宋" w:eastAsia="仿宋_GB2312"/>
          <w:spacing w:val="-5"/>
          <w:sz w:val="32"/>
          <w:highlight w:val="none"/>
          <w:lang w:val="en-US" w:eastAsia="zh-CN"/>
        </w:rPr>
        <w:t>21</w:t>
      </w:r>
      <w:r>
        <w:rPr>
          <w:rFonts w:hint="eastAsia" w:ascii="仿宋_GB2312" w:hAnsi="仿宋" w:eastAsia="仿宋_GB2312"/>
          <w:spacing w:val="-5"/>
          <w:sz w:val="32"/>
          <w:highlight w:val="none"/>
        </w:rPr>
        <w:t>年全国少年儿童‘</w:t>
      </w:r>
      <w:r>
        <w:rPr>
          <w:rFonts w:hint="eastAsia" w:ascii="仿宋_GB2312" w:hAnsi="仿宋" w:eastAsia="仿宋_GB2312"/>
          <w:spacing w:val="-5"/>
          <w:sz w:val="32"/>
        </w:rPr>
        <w:t>心中有祖国 心中有他人’主题教育活动总结暨研讨交流活</w:t>
      </w:r>
      <w:r>
        <w:rPr>
          <w:rFonts w:hint="eastAsia" w:ascii="仿宋_GB2312" w:hAnsi="仿宋" w:eastAsia="仿宋_GB2312"/>
          <w:spacing w:val="-5"/>
          <w:sz w:val="32"/>
          <w:highlight w:val="none"/>
        </w:rPr>
        <w:t>动”，具</w:t>
      </w:r>
      <w:r>
        <w:rPr>
          <w:rFonts w:hint="eastAsia" w:ascii="仿宋_GB2312" w:hAnsi="仿宋" w:eastAsia="仿宋_GB2312"/>
          <w:bCs/>
          <w:spacing w:val="-5"/>
          <w:sz w:val="32"/>
          <w:highlight w:val="none"/>
        </w:rPr>
        <w:t>体安排另行通知。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ind w:firstLine="640" w:firstLineChars="200"/>
        <w:textAlignment w:val="baseline"/>
        <w:rPr>
          <w:rFonts w:ascii="黑体" w:hAnsi="黑体" w:eastAsia="黑体"/>
          <w:color w:val="1F1F1F"/>
          <w:sz w:val="32"/>
        </w:rPr>
      </w:pPr>
      <w:r>
        <w:rPr>
          <w:rFonts w:hint="eastAsia" w:ascii="黑体" w:hAnsi="黑体" w:eastAsia="黑体"/>
          <w:color w:val="1F1F1F"/>
          <w:sz w:val="32"/>
        </w:rPr>
        <w:t>工作要求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baseline"/>
        <w:rPr>
          <w:rFonts w:ascii="仿宋_GB2312" w:hAnsi="仿宋" w:eastAsia="仿宋_GB2312"/>
          <w:bCs/>
          <w:color w:val="1F1F1F"/>
          <w:sz w:val="32"/>
        </w:rPr>
      </w:pPr>
      <w:r>
        <w:rPr>
          <w:rFonts w:hint="eastAsia" w:ascii="仿宋_GB2312" w:hAnsi="仿宋" w:eastAsia="仿宋_GB2312"/>
          <w:b/>
          <w:bCs/>
          <w:color w:val="1F1F1F"/>
          <w:sz w:val="32"/>
        </w:rPr>
        <w:t>一是要重视</w:t>
      </w:r>
      <w:r>
        <w:rPr>
          <w:rFonts w:hint="eastAsia" w:ascii="仿宋_GB2312" w:hAnsi="仿宋" w:eastAsia="仿宋_GB2312"/>
          <w:b/>
          <w:bCs/>
          <w:color w:val="1F1F1F"/>
          <w:sz w:val="32"/>
          <w:lang w:eastAsia="zh-CN"/>
        </w:rPr>
        <w:t>活动</w:t>
      </w:r>
      <w:r>
        <w:rPr>
          <w:rFonts w:hint="eastAsia" w:ascii="仿宋_GB2312" w:hAnsi="仿宋" w:eastAsia="仿宋_GB2312"/>
          <w:b/>
          <w:bCs/>
          <w:color w:val="1F1F1F"/>
          <w:sz w:val="32"/>
        </w:rPr>
        <w:t>总结工作。</w:t>
      </w:r>
      <w:r>
        <w:rPr>
          <w:rFonts w:hint="eastAsia" w:ascii="仿宋_GB2312" w:hAnsi="仿宋" w:eastAsia="仿宋_GB2312"/>
          <w:bCs/>
          <w:color w:val="1F1F1F"/>
          <w:sz w:val="32"/>
        </w:rPr>
        <w:t>请各有关单位切实重视此项工作，把总结工作与当地主题教育活动结合起来，与明年工作计划安排结合起来，与对全国“双有”活动开展的建议和意见结合起来，统筹兼顾，</w:t>
      </w:r>
      <w:r>
        <w:rPr>
          <w:rFonts w:hint="eastAsia" w:ascii="仿宋_GB2312" w:hAnsi="仿宋" w:eastAsia="仿宋_GB2312"/>
          <w:bCs/>
          <w:color w:val="1F1F1F"/>
          <w:sz w:val="32"/>
          <w:lang w:val="en-US" w:eastAsia="zh-CN"/>
        </w:rPr>
        <w:t>推进</w:t>
      </w:r>
      <w:r>
        <w:rPr>
          <w:rFonts w:hint="eastAsia" w:ascii="仿宋_GB2312" w:hAnsi="仿宋" w:eastAsia="仿宋_GB2312"/>
          <w:bCs/>
          <w:color w:val="1F1F1F"/>
          <w:sz w:val="32"/>
        </w:rPr>
        <w:t>工作。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baseline"/>
        <w:rPr>
          <w:rFonts w:ascii="仿宋_GB2312" w:hAnsi="仿宋" w:eastAsia="仿宋_GB2312"/>
          <w:bCs/>
          <w:color w:val="1F1F1F"/>
          <w:sz w:val="32"/>
        </w:rPr>
      </w:pPr>
      <w:r>
        <w:rPr>
          <w:rFonts w:hint="eastAsia" w:ascii="仿宋_GB2312" w:hAnsi="仿宋" w:eastAsia="仿宋_GB2312"/>
          <w:b/>
          <w:bCs/>
          <w:color w:val="1F1F1F"/>
          <w:sz w:val="32"/>
        </w:rPr>
        <w:t>二是要严格材料申报审核工作。</w:t>
      </w:r>
      <w:r>
        <w:rPr>
          <w:rFonts w:hint="eastAsia" w:ascii="仿宋_GB2312" w:hAnsi="仿宋" w:eastAsia="仿宋_GB2312"/>
          <w:bCs/>
          <w:color w:val="1F1F1F"/>
          <w:sz w:val="32"/>
        </w:rPr>
        <w:t>请各有关单位认真填写申报推荐材料，突出工作亮点，做好</w:t>
      </w:r>
      <w:r>
        <w:rPr>
          <w:rFonts w:hint="eastAsia" w:ascii="仿宋_GB2312" w:hAnsi="仿宋" w:eastAsia="仿宋_GB2312"/>
          <w:bCs/>
          <w:color w:val="1F1F1F"/>
          <w:sz w:val="32"/>
          <w:lang w:eastAsia="zh-CN"/>
        </w:rPr>
        <w:t>信息与数据</w:t>
      </w:r>
      <w:r>
        <w:rPr>
          <w:rFonts w:hint="eastAsia" w:ascii="仿宋_GB2312" w:hAnsi="仿宋" w:eastAsia="仿宋_GB2312"/>
          <w:bCs/>
          <w:color w:val="1F1F1F"/>
          <w:sz w:val="32"/>
        </w:rPr>
        <w:t>汇总。在审核工作中，全国“双有”</w:t>
      </w:r>
      <w:r>
        <w:rPr>
          <w:rFonts w:hint="eastAsia" w:ascii="仿宋_GB2312" w:hAnsi="仿宋" w:eastAsia="仿宋_GB2312"/>
          <w:bCs/>
          <w:color w:val="1F1F1F"/>
          <w:sz w:val="32"/>
          <w:lang w:eastAsia="zh-CN"/>
        </w:rPr>
        <w:t>活动</w:t>
      </w:r>
      <w:r>
        <w:rPr>
          <w:rFonts w:hint="eastAsia" w:ascii="仿宋_GB2312" w:hAnsi="仿宋" w:eastAsia="仿宋_GB2312"/>
          <w:bCs/>
          <w:color w:val="1F1F1F"/>
          <w:sz w:val="32"/>
        </w:rPr>
        <w:t>组委会将</w:t>
      </w:r>
      <w:bookmarkStart w:id="0" w:name="_GoBack"/>
      <w:bookmarkEnd w:id="0"/>
      <w:r>
        <w:rPr>
          <w:rFonts w:hint="eastAsia" w:ascii="仿宋_GB2312" w:hAnsi="仿宋" w:eastAsia="仿宋_GB2312"/>
          <w:bCs/>
          <w:color w:val="1F1F1F"/>
          <w:sz w:val="32"/>
        </w:rPr>
        <w:t>从推动“双有”活动发展和提升影响力角度出发，树立典型、推广先进事迹、经验与成果。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baseline"/>
        <w:rPr>
          <w:rFonts w:ascii="仿宋_GB2312" w:hAnsi="仿宋" w:eastAsia="仿宋_GB2312"/>
          <w:bCs/>
          <w:color w:val="1F1F1F"/>
          <w:sz w:val="32"/>
        </w:rPr>
      </w:pPr>
      <w:r>
        <w:rPr>
          <w:rFonts w:hint="eastAsia" w:ascii="仿宋_GB2312" w:hAnsi="仿宋" w:eastAsia="仿宋_GB2312"/>
          <w:b/>
          <w:bCs/>
          <w:color w:val="1F1F1F"/>
          <w:sz w:val="32"/>
        </w:rPr>
        <w:t>三是要准时</w:t>
      </w:r>
      <w:r>
        <w:rPr>
          <w:rFonts w:hint="eastAsia" w:ascii="仿宋_GB2312" w:hAnsi="仿宋" w:eastAsia="仿宋_GB2312"/>
          <w:b/>
          <w:bCs/>
          <w:color w:val="1F1F1F"/>
          <w:sz w:val="32"/>
          <w:lang w:eastAsia="zh-CN"/>
        </w:rPr>
        <w:t>报送</w:t>
      </w:r>
      <w:r>
        <w:rPr>
          <w:rFonts w:hint="eastAsia" w:ascii="仿宋_GB2312" w:hAnsi="仿宋" w:eastAsia="仿宋_GB2312"/>
          <w:b/>
          <w:bCs/>
          <w:color w:val="1F1F1F"/>
          <w:sz w:val="32"/>
        </w:rPr>
        <w:t>材料。</w:t>
      </w:r>
      <w:r>
        <w:rPr>
          <w:rFonts w:hint="eastAsia" w:ascii="仿宋_GB2312" w:hAnsi="仿宋" w:eastAsia="仿宋_GB2312"/>
          <w:bCs/>
          <w:color w:val="1F1F1F"/>
          <w:sz w:val="32"/>
        </w:rPr>
        <w:t>请各有关单位在</w:t>
      </w:r>
      <w:r>
        <w:rPr>
          <w:rFonts w:hint="eastAsia" w:ascii="仿宋_GB2312" w:hAnsi="仿宋" w:eastAsia="仿宋_GB2312"/>
          <w:b/>
          <w:bCs w:val="0"/>
          <w:color w:val="1F1F1F"/>
          <w:sz w:val="32"/>
          <w:highlight w:val="none"/>
        </w:rPr>
        <w:t>1</w:t>
      </w:r>
      <w:r>
        <w:rPr>
          <w:rFonts w:hint="eastAsia" w:ascii="仿宋_GB2312" w:hAnsi="仿宋" w:eastAsia="仿宋_GB2312"/>
          <w:b/>
          <w:bCs w:val="0"/>
          <w:color w:val="1F1F1F"/>
          <w:sz w:val="32"/>
          <w:highlight w:val="none"/>
          <w:lang w:val="en-US" w:eastAsia="zh-CN"/>
        </w:rPr>
        <w:t>0</w:t>
      </w:r>
      <w:r>
        <w:rPr>
          <w:rFonts w:hint="eastAsia" w:ascii="仿宋_GB2312" w:hAnsi="仿宋" w:eastAsia="仿宋_GB2312"/>
          <w:b/>
          <w:bCs w:val="0"/>
          <w:color w:val="1F1F1F"/>
          <w:sz w:val="32"/>
          <w:highlight w:val="none"/>
        </w:rPr>
        <w:t>月</w:t>
      </w:r>
      <w:r>
        <w:rPr>
          <w:rFonts w:hint="eastAsia" w:ascii="仿宋_GB2312" w:hAnsi="仿宋" w:eastAsia="仿宋_GB2312"/>
          <w:b/>
          <w:bCs w:val="0"/>
          <w:color w:val="1F1F1F"/>
          <w:sz w:val="32"/>
          <w:highlight w:val="none"/>
          <w:lang w:val="en-US" w:eastAsia="zh-CN"/>
        </w:rPr>
        <w:t>20</w:t>
      </w:r>
      <w:r>
        <w:rPr>
          <w:rFonts w:hint="eastAsia" w:ascii="仿宋_GB2312" w:hAnsi="仿宋" w:eastAsia="仿宋_GB2312"/>
          <w:b/>
          <w:bCs w:val="0"/>
          <w:color w:val="1F1F1F"/>
          <w:sz w:val="32"/>
          <w:highlight w:val="none"/>
        </w:rPr>
        <w:t>日</w:t>
      </w:r>
      <w:r>
        <w:rPr>
          <w:rFonts w:hint="eastAsia" w:ascii="仿宋_GB2312" w:hAnsi="仿宋" w:eastAsia="仿宋_GB2312"/>
          <w:bCs/>
          <w:color w:val="1F1F1F"/>
          <w:sz w:val="32"/>
        </w:rPr>
        <w:t>前，将本单位工作总结及奖项推荐材料</w:t>
      </w:r>
      <w:r>
        <w:rPr>
          <w:rFonts w:hint="eastAsia" w:ascii="仿宋_GB2312" w:hAnsi="仿宋" w:eastAsia="仿宋_GB2312"/>
          <w:bCs/>
          <w:color w:val="1F1F1F"/>
          <w:sz w:val="32"/>
          <w:lang w:eastAsia="zh-CN"/>
        </w:rPr>
        <w:t>报送</w:t>
      </w:r>
      <w:r>
        <w:rPr>
          <w:rFonts w:hint="eastAsia" w:ascii="仿宋_GB2312" w:hAnsi="仿宋" w:eastAsia="仿宋_GB2312"/>
          <w:bCs/>
          <w:color w:val="1F1F1F"/>
          <w:sz w:val="32"/>
        </w:rPr>
        <w:t>至全国“双有”</w:t>
      </w:r>
      <w:r>
        <w:rPr>
          <w:rFonts w:hint="eastAsia" w:ascii="仿宋_GB2312" w:hAnsi="仿宋" w:eastAsia="仿宋_GB2312"/>
          <w:bCs/>
          <w:color w:val="1F1F1F"/>
          <w:sz w:val="32"/>
          <w:lang w:eastAsia="zh-CN"/>
        </w:rPr>
        <w:t>活动</w:t>
      </w:r>
      <w:r>
        <w:rPr>
          <w:rFonts w:hint="eastAsia" w:ascii="仿宋_GB2312" w:hAnsi="仿宋" w:eastAsia="仿宋_GB2312"/>
          <w:bCs/>
          <w:color w:val="1F1F1F"/>
          <w:sz w:val="32"/>
        </w:rPr>
        <w:t>组委会邮箱。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ind w:firstLine="640" w:firstLineChars="200"/>
        <w:textAlignment w:val="baseline"/>
        <w:rPr>
          <w:rFonts w:ascii="黑体" w:hAnsi="黑体" w:eastAsia="黑体"/>
          <w:color w:val="1F1F1F"/>
          <w:sz w:val="32"/>
        </w:rPr>
      </w:pPr>
      <w:r>
        <w:rPr>
          <w:rFonts w:hint="eastAsia" w:ascii="黑体" w:hAnsi="黑体" w:eastAsia="黑体"/>
          <w:color w:val="1F1F1F"/>
          <w:sz w:val="32"/>
        </w:rPr>
        <w:t>联系方式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ascii="仿宋_GB2312" w:hAnsi="仿宋" w:eastAsia="仿宋_GB2312"/>
          <w:bCs/>
          <w:color w:val="1F1F1F"/>
          <w:sz w:val="32"/>
        </w:rPr>
      </w:pPr>
      <w:r>
        <w:rPr>
          <w:rFonts w:hint="eastAsia" w:ascii="仿宋_GB2312" w:hAnsi="仿宋" w:eastAsia="仿宋_GB2312"/>
          <w:bCs/>
          <w:color w:val="1F1F1F"/>
          <w:sz w:val="32"/>
        </w:rPr>
        <w:t>全国“双有”</w:t>
      </w:r>
      <w:r>
        <w:rPr>
          <w:rFonts w:hint="eastAsia" w:ascii="仿宋_GB2312" w:hAnsi="仿宋" w:eastAsia="仿宋_GB2312"/>
          <w:bCs/>
          <w:color w:val="1F1F1F"/>
          <w:sz w:val="32"/>
          <w:lang w:eastAsia="zh-CN"/>
        </w:rPr>
        <w:t>活动</w:t>
      </w:r>
      <w:r>
        <w:rPr>
          <w:rFonts w:hint="eastAsia" w:ascii="仿宋_GB2312" w:hAnsi="仿宋" w:eastAsia="仿宋_GB2312"/>
          <w:bCs/>
          <w:color w:val="1F1F1F"/>
          <w:sz w:val="32"/>
        </w:rPr>
        <w:t>组委会办公室联系方式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sz w:val="32"/>
          <w:szCs w:val="32"/>
        </w:rPr>
        <w:t>联系人：周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32"/>
          <w:szCs w:val="32"/>
        </w:rPr>
        <w:t>瑛、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姜天赐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电话：010-66160151（办公室）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13701332112（周）、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18610501017</w:t>
      </w:r>
      <w:r>
        <w:rPr>
          <w:rFonts w:hint="eastAsia" w:ascii="仿宋_GB2312" w:hAnsi="仿宋" w:eastAsia="仿宋_GB2312"/>
          <w:sz w:val="32"/>
          <w:szCs w:val="32"/>
        </w:rPr>
        <w:t>（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姜</w:t>
      </w:r>
      <w:r>
        <w:rPr>
          <w:rFonts w:hint="eastAsia" w:ascii="仿宋_GB2312" w:hAnsi="仿宋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</w:rPr>
        <w:t>邮箱：shuangyou07@126.com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>网址：</w:t>
      </w:r>
      <w:r>
        <w:rPr>
          <w:rFonts w:ascii="仿宋_GB2312" w:hAnsi="仿宋" w:eastAsia="仿宋_GB2312"/>
          <w:sz w:val="32"/>
          <w:szCs w:val="32"/>
          <w:highlight w:val="none"/>
        </w:rPr>
        <w:t>shuangyou.zget.org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地址：北京市西城区平安里西大街43号中国儿童中心，教育活动部（邮编100035）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rPr>
          <w:rFonts w:ascii="仿宋_GB2312" w:hAnsi="仿宋" w:eastAsia="仿宋_GB2312"/>
          <w:bCs/>
          <w:color w:val="1F1F1F"/>
          <w:sz w:val="32"/>
        </w:rPr>
      </w:pPr>
      <w:r>
        <w:rPr>
          <w:rFonts w:hint="eastAsia" w:ascii="仿宋_GB2312" w:hAnsi="仿宋" w:eastAsia="仿宋_GB2312"/>
          <w:bCs/>
          <w:color w:val="1F1F1F"/>
          <w:sz w:val="32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rPr>
          <w:rFonts w:ascii="仿宋_GB2312" w:hAnsi="仿宋" w:eastAsia="仿宋_GB2312"/>
          <w:bCs/>
          <w:color w:val="1F1F1F"/>
          <w:sz w:val="32"/>
        </w:rPr>
      </w:pPr>
      <w:r>
        <w:rPr>
          <w:rFonts w:hint="eastAsia" w:ascii="仿宋_GB2312" w:hAnsi="仿宋" w:eastAsia="仿宋_GB2312"/>
          <w:bCs/>
          <w:color w:val="1F1F1F"/>
          <w:sz w:val="32"/>
        </w:rPr>
        <w:t>1.《“双有”活动单位</w:t>
      </w:r>
      <w:r>
        <w:rPr>
          <w:rFonts w:hint="eastAsia" w:ascii="仿宋_GB2312" w:hAnsi="仿宋" w:eastAsia="仿宋_GB2312"/>
          <w:sz w:val="32"/>
        </w:rPr>
        <w:t>信息采集表</w:t>
      </w:r>
      <w:r>
        <w:rPr>
          <w:rFonts w:hint="eastAsia" w:ascii="仿宋_GB2312" w:hAnsi="仿宋" w:eastAsia="仿宋_GB2312"/>
          <w:bCs/>
          <w:color w:val="1F1F1F"/>
          <w:sz w:val="32"/>
        </w:rPr>
        <w:t>》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5"/>
        <w:textAlignment w:val="baseline"/>
        <w:rPr>
          <w:rFonts w:ascii="仿宋_GB2312" w:hAnsi="仿宋" w:eastAsia="仿宋_GB2312"/>
          <w:sz w:val="32"/>
        </w:rPr>
      </w:pPr>
      <w:r>
        <w:rPr>
          <w:rFonts w:hint="eastAsia" w:ascii="仿宋_GB2312" w:hAnsi="仿宋" w:eastAsia="仿宋_GB2312"/>
          <w:bCs/>
          <w:color w:val="1F1F1F"/>
          <w:sz w:val="32"/>
        </w:rPr>
        <w:t>2.</w:t>
      </w:r>
      <w:r>
        <w:rPr>
          <w:rFonts w:hint="eastAsia" w:ascii="仿宋_GB2312" w:hAnsi="仿宋" w:eastAsia="仿宋_GB2312"/>
          <w:sz w:val="32"/>
        </w:rPr>
        <w:t xml:space="preserve"> 20</w:t>
      </w:r>
      <w:r>
        <w:rPr>
          <w:rFonts w:hint="eastAsia" w:ascii="仿宋_GB2312" w:hAnsi="仿宋" w:eastAsia="仿宋_GB2312"/>
          <w:sz w:val="32"/>
          <w:lang w:val="en-US" w:eastAsia="zh-CN"/>
        </w:rPr>
        <w:t>21</w:t>
      </w:r>
      <w:r>
        <w:rPr>
          <w:rFonts w:hint="eastAsia" w:ascii="仿宋_GB2312" w:hAnsi="仿宋" w:eastAsia="仿宋_GB2312"/>
          <w:sz w:val="32"/>
        </w:rPr>
        <w:t>年“双有”活动工作总结报告内容提纲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5"/>
        <w:textAlignment w:val="baseline"/>
        <w:rPr>
          <w:rFonts w:ascii="仿宋_GB2312" w:hAnsi="仿宋" w:eastAsia="仿宋_GB2312"/>
          <w:sz w:val="32"/>
        </w:rPr>
      </w:pPr>
      <w:r>
        <w:rPr>
          <w:rFonts w:hint="eastAsia" w:ascii="仿宋_GB2312" w:hAnsi="仿宋" w:eastAsia="仿宋_GB2312"/>
          <w:bCs/>
          <w:color w:val="1F1F1F"/>
          <w:sz w:val="32"/>
        </w:rPr>
        <w:t>3.</w:t>
      </w:r>
      <w:r>
        <w:rPr>
          <w:rFonts w:hint="eastAsia" w:ascii="仿宋_GB2312" w:hAnsi="仿宋" w:eastAsia="仿宋_GB2312"/>
          <w:bCs/>
          <w:sz w:val="32"/>
        </w:rPr>
        <w:t>主题教育活动特色案例征集说明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5"/>
        <w:textAlignment w:val="baseline"/>
        <w:rPr>
          <w:rFonts w:hint="eastAsia" w:ascii="仿宋_GB2312" w:hAnsi="仿宋" w:eastAsia="仿宋_GB2312"/>
          <w:bCs/>
          <w:color w:val="1F1F1F"/>
          <w:sz w:val="32"/>
          <w:lang w:eastAsia="zh-CN"/>
        </w:rPr>
      </w:pPr>
      <w:r>
        <w:rPr>
          <w:rFonts w:hint="eastAsia" w:ascii="仿宋_GB2312" w:hAnsi="仿宋" w:eastAsia="仿宋_GB2312"/>
          <w:bCs/>
          <w:color w:val="1F1F1F"/>
          <w:sz w:val="32"/>
        </w:rPr>
        <w:t>4.《先进集体、先进个人推荐汇总表》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320"/>
        <w:jc w:val="right"/>
        <w:rPr>
          <w:rFonts w:ascii="仿宋_GB2312" w:hAnsi="仿宋" w:eastAsia="仿宋_GB2312"/>
          <w:b/>
          <w:color w:val="1F1F1F"/>
          <w:sz w:val="32"/>
        </w:rPr>
      </w:pP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320"/>
        <w:jc w:val="right"/>
        <w:textAlignment w:val="auto"/>
        <w:rPr>
          <w:rFonts w:ascii="仿宋_GB2312" w:hAnsi="仿宋" w:eastAsia="仿宋_GB2312"/>
          <w:b/>
          <w:color w:val="1F1F1F"/>
          <w:sz w:val="32"/>
        </w:rPr>
      </w:pPr>
      <w:r>
        <w:rPr>
          <w:rFonts w:hint="eastAsia" w:ascii="仿宋_GB2312" w:hAnsi="仿宋" w:eastAsia="仿宋_GB2312"/>
          <w:b/>
          <w:color w:val="1F1F1F"/>
          <w:sz w:val="32"/>
          <w:lang w:val="en-US" w:eastAsia="zh-CN"/>
        </w:rPr>
        <w:t xml:space="preserve">  </w:t>
      </w:r>
      <w:r>
        <w:rPr>
          <w:rFonts w:hint="eastAsia" w:ascii="仿宋_GB2312" w:hAnsi="仿宋" w:eastAsia="仿宋_GB2312"/>
          <w:b/>
          <w:color w:val="1F1F1F"/>
          <w:sz w:val="32"/>
        </w:rPr>
        <w:t>全国少年儿童“双有”主题教育活动</w:t>
      </w: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800"/>
        <w:jc w:val="center"/>
        <w:textAlignment w:val="auto"/>
        <w:rPr>
          <w:rFonts w:ascii="仿宋_GB2312" w:hAnsi="仿宋" w:eastAsia="仿宋_GB2312"/>
          <w:b/>
          <w:color w:val="1F1F1F"/>
          <w:sz w:val="32"/>
        </w:rPr>
      </w:pPr>
      <w:r>
        <w:rPr>
          <w:rFonts w:hint="eastAsia" w:ascii="仿宋_GB2312" w:hAnsi="仿宋" w:eastAsia="仿宋_GB2312"/>
          <w:b/>
          <w:color w:val="1F1F1F"/>
          <w:sz w:val="32"/>
        </w:rPr>
        <w:t xml:space="preserve">                    </w:t>
      </w:r>
      <w:r>
        <w:rPr>
          <w:rFonts w:hint="eastAsia" w:ascii="仿宋_GB2312" w:hAnsi="仿宋" w:eastAsia="仿宋_GB2312"/>
          <w:b/>
          <w:color w:val="1F1F1F"/>
          <w:sz w:val="32"/>
          <w:lang w:val="en-US" w:eastAsia="zh-CN"/>
        </w:rPr>
        <w:t xml:space="preserve"> </w:t>
      </w:r>
      <w:r>
        <w:rPr>
          <w:rFonts w:hint="eastAsia" w:ascii="仿宋_GB2312" w:hAnsi="仿宋" w:eastAsia="仿宋_GB2312"/>
          <w:b/>
          <w:color w:val="1F1F1F"/>
          <w:sz w:val="32"/>
        </w:rPr>
        <w:t>组织委员会</w:t>
      </w: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920"/>
        <w:jc w:val="right"/>
        <w:textAlignment w:val="auto"/>
        <w:rPr>
          <w:rFonts w:ascii="仿宋_GB2312" w:hAnsi="仿宋" w:eastAsia="仿宋_GB2312"/>
          <w:b/>
        </w:rPr>
      </w:pPr>
      <w:r>
        <w:rPr>
          <w:rFonts w:hint="eastAsia" w:ascii="仿宋_GB2312" w:hAnsi="仿宋" w:eastAsia="仿宋_GB2312"/>
          <w:b/>
          <w:sz w:val="32"/>
        </w:rPr>
        <w:t>20</w:t>
      </w:r>
      <w:r>
        <w:rPr>
          <w:rFonts w:hint="eastAsia" w:ascii="仿宋_GB2312" w:hAnsi="仿宋" w:eastAsia="仿宋_GB2312"/>
          <w:b/>
          <w:sz w:val="32"/>
          <w:lang w:val="en-US" w:eastAsia="zh-CN"/>
        </w:rPr>
        <w:t>21</w:t>
      </w:r>
      <w:r>
        <w:rPr>
          <w:rFonts w:hint="eastAsia" w:ascii="仿宋_GB2312" w:hAnsi="仿宋" w:eastAsia="仿宋_GB2312"/>
          <w:b/>
          <w:sz w:val="32"/>
        </w:rPr>
        <w:t>年</w:t>
      </w:r>
      <w:r>
        <w:rPr>
          <w:rFonts w:hint="eastAsia" w:ascii="仿宋_GB2312" w:hAnsi="仿宋" w:eastAsia="仿宋_GB2312"/>
          <w:b/>
          <w:sz w:val="32"/>
          <w:lang w:val="en-US" w:eastAsia="zh-CN"/>
        </w:rPr>
        <w:t>9</w:t>
      </w:r>
      <w:r>
        <w:rPr>
          <w:rFonts w:hint="eastAsia" w:ascii="仿宋_GB2312" w:hAnsi="仿宋" w:eastAsia="仿宋_GB2312"/>
          <w:b/>
          <w:sz w:val="32"/>
        </w:rPr>
        <w:t>月</w:t>
      </w:r>
      <w:r>
        <w:rPr>
          <w:rFonts w:hint="eastAsia" w:ascii="仿宋_GB2312" w:hAnsi="仿宋" w:eastAsia="仿宋_GB2312"/>
          <w:b/>
          <w:sz w:val="32"/>
          <w:lang w:val="en-US" w:eastAsia="zh-CN"/>
        </w:rPr>
        <w:t>22</w:t>
      </w:r>
      <w:r>
        <w:rPr>
          <w:rFonts w:hint="eastAsia" w:ascii="仿宋_GB2312" w:hAnsi="仿宋" w:eastAsia="仿宋_GB2312"/>
          <w:b/>
          <w:sz w:val="32"/>
        </w:rPr>
        <w:t>日</w:t>
      </w:r>
      <w:r>
        <w:rPr>
          <w:rFonts w:hint="eastAsia" w:eastAsia="仿宋_GB2312"/>
          <w:b/>
        </w:rPr>
        <w:t>  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440"/>
        <w:jc w:val="right"/>
        <w:rPr>
          <w:rFonts w:ascii="仿宋_GB2312" w:hAnsi="仿宋" w:eastAsia="仿宋_GB2312"/>
          <w:b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240" w:lineRule="auto"/>
        <w:jc w:val="center"/>
        <w:textAlignment w:val="baseline"/>
        <w:rPr>
          <w:rFonts w:ascii="宋体" w:hAnsi="宋体"/>
          <w:b/>
          <w:kern w:val="0"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bCs/>
          <w:sz w:val="36"/>
          <w:szCs w:val="36"/>
        </w:rPr>
        <w:t>20</w:t>
      </w:r>
      <w:r>
        <w:rPr>
          <w:rFonts w:hint="eastAsia" w:asciiTheme="majorEastAsia" w:hAnsiTheme="majorEastAsia" w:eastAsiaTheme="majorEastAsia"/>
          <w:b/>
          <w:bCs/>
          <w:sz w:val="36"/>
          <w:szCs w:val="36"/>
          <w:lang w:val="en-US" w:eastAsia="zh-CN"/>
        </w:rPr>
        <w:t>21</w:t>
      </w:r>
      <w:r>
        <w:rPr>
          <w:rFonts w:hint="eastAsia" w:asciiTheme="majorEastAsia" w:hAnsiTheme="majorEastAsia" w:eastAsiaTheme="majorEastAsia"/>
          <w:b/>
          <w:bCs/>
          <w:sz w:val="36"/>
          <w:szCs w:val="36"/>
        </w:rPr>
        <w:t>“双有”活动单位信息采集</w:t>
      </w:r>
    </w:p>
    <w:tbl>
      <w:tblPr>
        <w:tblStyle w:val="8"/>
        <w:tblW w:w="8714" w:type="dxa"/>
        <w:tblInd w:w="-10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0"/>
        <w:gridCol w:w="1770"/>
        <w:gridCol w:w="2055"/>
        <w:gridCol w:w="1673"/>
        <w:gridCol w:w="18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730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  <w:t>单位地址</w:t>
            </w:r>
          </w:p>
        </w:tc>
        <w:tc>
          <w:tcPr>
            <w:tcW w:w="730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  <w:t>负责人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  <w:t>职务</w:t>
            </w:r>
          </w:p>
        </w:tc>
        <w:tc>
          <w:tcPr>
            <w:tcW w:w="34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4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  <w:t>联系人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  <w:t>所在部门及职务</w:t>
            </w:r>
          </w:p>
        </w:tc>
        <w:tc>
          <w:tcPr>
            <w:tcW w:w="1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  <w:t>邮箱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活动开展情况</w:t>
            </w:r>
          </w:p>
        </w:tc>
        <w:tc>
          <w:tcPr>
            <w:tcW w:w="38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年度主题活动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（名称）</w:t>
            </w:r>
          </w:p>
        </w:tc>
        <w:tc>
          <w:tcPr>
            <w:tcW w:w="34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品牌</w:t>
            </w:r>
            <w:r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  <w:t>主题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活动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（名称）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8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4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活动参与情况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儿童（人次）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家庭（个）</w:t>
            </w:r>
          </w:p>
        </w:tc>
        <w:tc>
          <w:tcPr>
            <w:tcW w:w="1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学校（所）</w:t>
            </w:r>
          </w:p>
        </w:tc>
        <w:tc>
          <w:tcPr>
            <w:tcW w:w="18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社区（个）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8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4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活动资金来源情况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财政资金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（万元）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政府部门支持资金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（万元）</w:t>
            </w:r>
          </w:p>
        </w:tc>
        <w:tc>
          <w:tcPr>
            <w:tcW w:w="1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企业支持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（万元）</w:t>
            </w:r>
          </w:p>
        </w:tc>
        <w:tc>
          <w:tcPr>
            <w:tcW w:w="18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基金会支持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8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14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合作机构情况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合作机构名称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是否联名举办</w:t>
            </w:r>
          </w:p>
        </w:tc>
        <w:tc>
          <w:tcPr>
            <w:tcW w:w="34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提供支持</w:t>
            </w:r>
            <w:r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  <w:t>说明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专家、志愿者、工作人员，</w:t>
            </w:r>
            <w:r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  <w:t>场地，活动材料、资金等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媒体报道</w:t>
            </w:r>
          </w:p>
        </w:tc>
        <w:tc>
          <w:tcPr>
            <w:tcW w:w="38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媒体名称</w:t>
            </w:r>
          </w:p>
        </w:tc>
        <w:tc>
          <w:tcPr>
            <w:tcW w:w="1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报道类型</w:t>
            </w:r>
          </w:p>
        </w:tc>
        <w:tc>
          <w:tcPr>
            <w:tcW w:w="18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报道次数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14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8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8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7" w:afterLines="50"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活动产出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1"/>
                <w:szCs w:val="21"/>
              </w:rPr>
              <w:t>（请附图片）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书籍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（书名）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论文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（篇名）</w:t>
            </w:r>
          </w:p>
        </w:tc>
        <w:tc>
          <w:tcPr>
            <w:tcW w:w="1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手册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（名称）</w:t>
            </w:r>
          </w:p>
        </w:tc>
        <w:tc>
          <w:tcPr>
            <w:tcW w:w="18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展板、宣传单等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  <w:lang w:eastAsia="zh-CN"/>
              </w:rPr>
              <w:t>（数量）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8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4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获得荣誉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项目获奖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活动获奖</w:t>
            </w:r>
          </w:p>
        </w:tc>
        <w:tc>
          <w:tcPr>
            <w:tcW w:w="1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教师获奖</w:t>
            </w:r>
          </w:p>
        </w:tc>
        <w:tc>
          <w:tcPr>
            <w:tcW w:w="18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儿童获奖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4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8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Theme="majorEastAsia" w:hAnsiTheme="majorEastAsia" w:eastAsiaTheme="majorEastAsia"/>
          <w:b/>
          <w:sz w:val="36"/>
          <w:szCs w:val="36"/>
        </w:rPr>
        <w:t>20</w:t>
      </w:r>
      <w:r>
        <w:rPr>
          <w:rFonts w:hint="eastAsia" w:asciiTheme="majorEastAsia" w:hAnsiTheme="majorEastAsia" w:eastAsiaTheme="majorEastAsia"/>
          <w:b/>
          <w:sz w:val="36"/>
          <w:szCs w:val="36"/>
          <w:lang w:val="en-US" w:eastAsia="zh-CN"/>
        </w:rPr>
        <w:t>21</w:t>
      </w:r>
      <w:r>
        <w:rPr>
          <w:rFonts w:hint="eastAsia" w:asciiTheme="majorEastAsia" w:hAnsiTheme="majorEastAsia" w:eastAsiaTheme="majorEastAsia"/>
          <w:b/>
          <w:sz w:val="36"/>
          <w:szCs w:val="36"/>
        </w:rPr>
        <w:t>年“双有”活动工作总结报告内容提纲</w:t>
      </w:r>
    </w:p>
    <w:p>
      <w:pPr>
        <w:pStyle w:val="14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0"/>
        <w:textAlignment w:val="auto"/>
        <w:rPr>
          <w:rFonts w:ascii="仿宋_GB2312" w:eastAsia="仿宋_GB2312"/>
          <w:b/>
          <w:sz w:val="32"/>
          <w:szCs w:val="32"/>
          <w:highlight w:val="none"/>
        </w:rPr>
      </w:pPr>
      <w:r>
        <w:rPr>
          <w:rFonts w:hint="eastAsia" w:ascii="仿宋_GB2312" w:eastAsia="仿宋_GB2312"/>
          <w:b/>
          <w:sz w:val="32"/>
          <w:szCs w:val="32"/>
          <w:highlight w:val="none"/>
        </w:rPr>
        <w:t>主题教育活动的落地实践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</w:rPr>
        <w:t>本单位对</w:t>
      </w:r>
      <w:r>
        <w:rPr>
          <w:rFonts w:hint="eastAsia" w:ascii="仿宋_GB2312" w:eastAsia="仿宋_GB2312"/>
          <w:sz w:val="32"/>
          <w:szCs w:val="32"/>
          <w:lang w:eastAsia="zh-CN"/>
        </w:rPr>
        <w:t>少年儿童党史学习教育、生态文明教育、</w:t>
      </w:r>
      <w:r>
        <w:rPr>
          <w:rFonts w:hint="eastAsia" w:ascii="仿宋" w:hAnsi="仿宋" w:eastAsia="仿宋"/>
          <w:sz w:val="32"/>
          <w:szCs w:val="32"/>
        </w:rPr>
        <w:t>研学教育</w:t>
      </w:r>
      <w:r>
        <w:rPr>
          <w:rFonts w:hint="eastAsia" w:ascii="仿宋_GB2312" w:eastAsia="仿宋_GB2312"/>
          <w:sz w:val="32"/>
          <w:szCs w:val="32"/>
        </w:rPr>
        <w:t>的理解？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Calibri" w:hAnsi="Calibri" w:eastAsia="仿宋_GB2312" w:cs="Calibri"/>
          <w:sz w:val="32"/>
          <w:szCs w:val="32"/>
          <w:lang w:eastAsia="zh-CN"/>
        </w:rPr>
        <w:t>（</w:t>
      </w:r>
      <w:r>
        <w:rPr>
          <w:rFonts w:hint="default" w:ascii="Calibri" w:hAnsi="Calibri" w:eastAsia="仿宋_GB2312" w:cs="Calibri"/>
          <w:sz w:val="24"/>
          <w:szCs w:val="24"/>
        </w:rPr>
        <w:t>①</w:t>
      </w:r>
      <w:r>
        <w:rPr>
          <w:rFonts w:hint="eastAsia" w:ascii="仿宋_GB2312" w:eastAsia="仿宋_GB2312"/>
          <w:b/>
          <w:bCs/>
          <w:sz w:val="32"/>
          <w:szCs w:val="32"/>
          <w:u w:val="single"/>
          <w:lang w:eastAsia="zh-CN"/>
        </w:rPr>
        <w:t>“双有”年度方案的主题</w:t>
      </w:r>
      <w:r>
        <w:rPr>
          <w:rFonts w:hint="eastAsia" w:ascii="仿宋_GB2312" w:eastAsia="仿宋_GB2312"/>
          <w:b/>
          <w:bCs/>
          <w:sz w:val="32"/>
          <w:szCs w:val="32"/>
          <w:u w:val="single"/>
        </w:rPr>
        <w:t>教育活动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如何与本单位工作相结合？如何与当地发展情况、</w:t>
      </w:r>
      <w:r>
        <w:rPr>
          <w:rFonts w:hint="eastAsia" w:ascii="仿宋_GB2312" w:eastAsia="仿宋_GB2312"/>
          <w:sz w:val="32"/>
          <w:szCs w:val="32"/>
          <w:lang w:eastAsia="zh-CN"/>
        </w:rPr>
        <w:t>历史</w:t>
      </w:r>
      <w:r>
        <w:rPr>
          <w:rFonts w:hint="eastAsia" w:ascii="仿宋_GB2312" w:eastAsia="仿宋_GB2312"/>
          <w:sz w:val="32"/>
          <w:szCs w:val="32"/>
        </w:rPr>
        <w:t>人文及自然资源相结合？各项活动的实际开展情况。</w:t>
      </w:r>
      <w:r>
        <w:rPr>
          <w:rFonts w:hint="default" w:ascii="Calibri" w:hAnsi="Calibri" w:eastAsia="仿宋_GB2312" w:cs="Calibri"/>
          <w:sz w:val="24"/>
          <w:szCs w:val="24"/>
        </w:rPr>
        <w:t>②</w:t>
      </w:r>
      <w:r>
        <w:rPr>
          <w:rFonts w:hint="default" w:ascii="仿宋_GB2312" w:eastAsia="仿宋_GB2312"/>
          <w:b/>
          <w:bCs/>
          <w:sz w:val="32"/>
          <w:szCs w:val="32"/>
          <w:u w:val="single"/>
          <w:lang w:eastAsia="zh-CN"/>
        </w:rPr>
        <w:t>庆祝中国共产党成立100周年系列主题教育活动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 xml:space="preserve"> 围绕“庆祝中国共产党成立100周年”主题，</w:t>
      </w:r>
      <w:r>
        <w:rPr>
          <w:rFonts w:hint="eastAsia" w:ascii="仿宋_GB2312" w:eastAsia="仿宋_GB2312"/>
          <w:sz w:val="32"/>
          <w:szCs w:val="32"/>
          <w:lang w:eastAsia="zh-CN"/>
        </w:rPr>
        <w:t>如何结合校外教育特色和“四史”宣传教育内涵开展系列活动？活动的实际开展情况。</w:t>
      </w:r>
      <w:r>
        <w:rPr>
          <w:rFonts w:hint="eastAsia" w:ascii="微软雅黑" w:hAnsi="微软雅黑" w:eastAsia="微软雅黑" w:cs="微软雅黑"/>
          <w:sz w:val="32"/>
          <w:szCs w:val="32"/>
          <w:lang w:eastAsia="zh-CN"/>
        </w:rPr>
        <w:t>③</w:t>
      </w:r>
      <w:r>
        <w:rPr>
          <w:rFonts w:hint="eastAsia" w:ascii="仿宋_GB2312" w:eastAsia="仿宋_GB2312"/>
          <w:b/>
          <w:bCs/>
          <w:sz w:val="32"/>
          <w:szCs w:val="32"/>
          <w:u w:val="single"/>
          <w:lang w:eastAsia="zh-CN"/>
        </w:rPr>
        <w:t>生态文明</w:t>
      </w:r>
      <w:r>
        <w:rPr>
          <w:rFonts w:hint="default" w:ascii="仿宋_GB2312" w:eastAsia="仿宋_GB2312"/>
          <w:b/>
          <w:bCs/>
          <w:sz w:val="32"/>
          <w:szCs w:val="32"/>
          <w:u w:val="single"/>
          <w:lang w:eastAsia="zh-CN"/>
        </w:rPr>
        <w:t>教育活动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 xml:space="preserve"> 如何理解“环境友好 儿童友好”理念，并与阵地资源相结合？如何创新活动形式和内容？</w:t>
      </w:r>
      <w:r>
        <w:rPr>
          <w:rFonts w:hint="eastAsia" w:ascii="仿宋_GB2312" w:eastAsia="仿宋_GB2312"/>
          <w:sz w:val="32"/>
          <w:szCs w:val="32"/>
          <w:lang w:eastAsia="zh-CN"/>
        </w:rPr>
        <w:t>活动的实际开展情况。</w:t>
      </w:r>
      <w:r>
        <w:rPr>
          <w:rFonts w:hint="eastAsia" w:ascii="微软雅黑" w:hAnsi="微软雅黑" w:eastAsia="微软雅黑" w:cs="微软雅黑"/>
          <w:sz w:val="32"/>
          <w:szCs w:val="32"/>
          <w:u w:val="none"/>
          <w:lang w:val="en-US" w:eastAsia="zh-CN"/>
        </w:rPr>
        <w:t>④</w:t>
      </w:r>
      <w:r>
        <w:rPr>
          <w:rFonts w:hint="eastAsia" w:ascii="仿宋_GB2312" w:eastAsia="仿宋_GB2312"/>
          <w:b/>
          <w:bCs/>
          <w:sz w:val="32"/>
          <w:szCs w:val="32"/>
          <w:u w:val="single"/>
          <w:lang w:eastAsia="zh-CN"/>
        </w:rPr>
        <w:t>研学</w:t>
      </w:r>
      <w:r>
        <w:rPr>
          <w:rFonts w:hint="default" w:ascii="仿宋_GB2312" w:eastAsia="仿宋_GB2312"/>
          <w:b/>
          <w:bCs/>
          <w:sz w:val="32"/>
          <w:szCs w:val="32"/>
          <w:u w:val="single"/>
          <w:lang w:eastAsia="zh-CN"/>
        </w:rPr>
        <w:t>活动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 xml:space="preserve"> 如何</w:t>
      </w:r>
      <w:r>
        <w:rPr>
          <w:rFonts w:hint="eastAsia" w:ascii="仿宋_GB2312" w:eastAsia="仿宋_GB2312"/>
          <w:sz w:val="32"/>
          <w:szCs w:val="32"/>
          <w:lang w:eastAsia="zh-CN"/>
        </w:rPr>
        <w:t>挖掘各地资源优势、突出地域特色设计活动？活动的实际开展情况。</w:t>
      </w:r>
      <w:r>
        <w:rPr>
          <w:rFonts w:hint="eastAsia" w:ascii="Calibri" w:hAnsi="Calibri" w:eastAsia="仿宋_GB2312" w:cs="Calibri"/>
          <w:sz w:val="32"/>
          <w:szCs w:val="32"/>
          <w:lang w:eastAsia="zh-CN"/>
        </w:rPr>
        <w:t>）</w:t>
      </w:r>
    </w:p>
    <w:p>
      <w:pPr>
        <w:pStyle w:val="14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0"/>
        <w:textAlignment w:val="auto"/>
        <w:rPr>
          <w:rFonts w:ascii="仿宋_GB2312" w:eastAsia="仿宋_GB2312"/>
          <w:b/>
          <w:sz w:val="32"/>
          <w:szCs w:val="32"/>
          <w:highlight w:val="none"/>
        </w:rPr>
      </w:pPr>
      <w:r>
        <w:rPr>
          <w:rFonts w:hint="eastAsia" w:ascii="仿宋_GB2312" w:eastAsia="仿宋_GB2312"/>
          <w:b/>
          <w:sz w:val="32"/>
          <w:szCs w:val="32"/>
          <w:highlight w:val="none"/>
        </w:rPr>
        <w:t>主题教育活动的特色与亮点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（政策依据、教育理念、资源整合、活动</w:t>
      </w:r>
      <w:r>
        <w:rPr>
          <w:rFonts w:hint="eastAsia" w:ascii="仿宋_GB2312" w:eastAsia="仿宋_GB2312"/>
          <w:sz w:val="32"/>
          <w:szCs w:val="32"/>
          <w:lang w:eastAsia="zh-CN"/>
        </w:rPr>
        <w:t>设计</w:t>
      </w:r>
      <w:r>
        <w:rPr>
          <w:rFonts w:hint="eastAsia" w:ascii="仿宋_GB2312" w:eastAsia="仿宋_GB2312"/>
          <w:sz w:val="32"/>
          <w:szCs w:val="32"/>
        </w:rPr>
        <w:t>、对本单位工作的推动、社会影响等。）</w:t>
      </w:r>
    </w:p>
    <w:p>
      <w:pPr>
        <w:pStyle w:val="14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0"/>
        <w:textAlignment w:val="auto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媒体报道情况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（电视广播媒体</w:t>
      </w:r>
      <w:r>
        <w:rPr>
          <w:rFonts w:ascii="仿宋_GB2312" w:eastAsia="仿宋_GB2312"/>
          <w:sz w:val="32"/>
          <w:szCs w:val="32"/>
        </w:rPr>
        <w:t>、纸媒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ascii="仿宋_GB2312" w:eastAsia="仿宋_GB2312"/>
          <w:sz w:val="32"/>
          <w:szCs w:val="32"/>
        </w:rPr>
        <w:t>新媒体、自媒体</w:t>
      </w:r>
      <w:r>
        <w:rPr>
          <w:rFonts w:hint="eastAsia" w:ascii="仿宋_GB2312" w:eastAsia="仿宋_GB2312"/>
          <w:sz w:val="32"/>
          <w:szCs w:val="32"/>
        </w:rPr>
        <w:t>。）</w:t>
      </w:r>
    </w:p>
    <w:p>
      <w:pPr>
        <w:pStyle w:val="14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0"/>
        <w:textAlignment w:val="auto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工作图片集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</w:t>
      </w:r>
      <w:r>
        <w:rPr>
          <w:rFonts w:hint="eastAsia" w:ascii="仿宋_GB2312" w:eastAsia="仿宋_GB2312"/>
          <w:sz w:val="32"/>
          <w:szCs w:val="32"/>
          <w:highlight w:val="none"/>
        </w:rPr>
        <w:t>活动场景、师资培训场景、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活动</w:t>
      </w:r>
      <w:r>
        <w:rPr>
          <w:rFonts w:hint="eastAsia" w:ascii="仿宋_GB2312" w:eastAsia="仿宋_GB2312"/>
          <w:sz w:val="32"/>
          <w:szCs w:val="32"/>
          <w:highlight w:val="none"/>
        </w:rPr>
        <w:t>作品、印刷品及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其他</w:t>
      </w:r>
      <w:r>
        <w:rPr>
          <w:rFonts w:hint="eastAsia" w:ascii="仿宋_GB2312" w:eastAsia="仿宋_GB2312"/>
          <w:sz w:val="32"/>
          <w:szCs w:val="32"/>
          <w:highlight w:val="none"/>
        </w:rPr>
        <w:t>成果电子版，请将图片打包，与报告一同提交。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>文</w:t>
      </w:r>
      <w:r>
        <w:rPr>
          <w:rFonts w:hint="eastAsia" w:ascii="仿宋_GB2312" w:eastAsia="仿宋_GB2312"/>
          <w:sz w:val="32"/>
          <w:szCs w:val="32"/>
          <w:u w:val="single"/>
        </w:rPr>
        <w:t>件包的名称为：XX单位20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21</w:t>
      </w:r>
      <w:r>
        <w:rPr>
          <w:rFonts w:hint="eastAsia" w:ascii="仿宋_GB2312" w:eastAsia="仿宋_GB2312"/>
          <w:sz w:val="32"/>
          <w:szCs w:val="32"/>
          <w:u w:val="single"/>
        </w:rPr>
        <w:t>年“双有”活动工作总结报告</w:t>
      </w:r>
      <w:r>
        <w:rPr>
          <w:rFonts w:hint="eastAsia" w:ascii="仿宋_GB2312" w:eastAsia="仿宋_GB2312"/>
          <w:sz w:val="32"/>
          <w:szCs w:val="32"/>
        </w:rPr>
        <w:t>。）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附件3：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Theme="majorEastAsia" w:hAnsiTheme="majorEastAsia" w:eastAsiaTheme="majorEastAsia"/>
          <w:b/>
          <w:bCs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bCs/>
          <w:sz w:val="36"/>
          <w:szCs w:val="36"/>
        </w:rPr>
        <w:t>20</w:t>
      </w:r>
      <w:r>
        <w:rPr>
          <w:rFonts w:hint="eastAsia" w:asciiTheme="majorEastAsia" w:hAnsiTheme="majorEastAsia" w:eastAsiaTheme="majorEastAsia"/>
          <w:b/>
          <w:bCs/>
          <w:sz w:val="36"/>
          <w:szCs w:val="36"/>
          <w:lang w:val="en-US" w:eastAsia="zh-CN"/>
        </w:rPr>
        <w:t>21</w:t>
      </w:r>
      <w:r>
        <w:rPr>
          <w:rFonts w:hint="eastAsia" w:asciiTheme="majorEastAsia" w:hAnsiTheme="majorEastAsia" w:eastAsiaTheme="majorEastAsia"/>
          <w:b/>
          <w:bCs/>
          <w:sz w:val="36"/>
          <w:szCs w:val="36"/>
        </w:rPr>
        <w:t>年“双有”主题教育活动特色案例征集说明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textAlignment w:val="auto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案例征集要求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hanging="42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</w:rPr>
        <w:t>对象：面向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全国</w:t>
      </w:r>
      <w:r>
        <w:rPr>
          <w:rFonts w:hint="eastAsia" w:ascii="仿宋_GB2312" w:eastAsia="仿宋_GB2312"/>
          <w:bCs/>
          <w:sz w:val="32"/>
          <w:szCs w:val="32"/>
        </w:rPr>
        <w:t>各级、各类校外教育机构及其他社会机构征集；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839" w:hanging="42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</w:rPr>
        <w:t>范围：近1年（自</w:t>
      </w:r>
      <w:r>
        <w:rPr>
          <w:rFonts w:hint="eastAsia" w:ascii="仿宋_GB2312" w:eastAsia="仿宋_GB2312"/>
          <w:b/>
          <w:bCs/>
          <w:sz w:val="32"/>
          <w:szCs w:val="32"/>
          <w:u w:val="none"/>
        </w:rPr>
        <w:t>20</w:t>
      </w:r>
      <w:r>
        <w:rPr>
          <w:rFonts w:hint="eastAsia" w:ascii="仿宋_GB2312" w:eastAsia="仿宋_GB2312"/>
          <w:b/>
          <w:bCs/>
          <w:sz w:val="32"/>
          <w:szCs w:val="32"/>
          <w:u w:val="none"/>
          <w:lang w:val="en-US" w:eastAsia="zh-CN"/>
        </w:rPr>
        <w:t>21</w:t>
      </w:r>
      <w:r>
        <w:rPr>
          <w:rFonts w:hint="eastAsia" w:ascii="仿宋_GB2312" w:eastAsia="仿宋_GB2312"/>
          <w:b/>
          <w:bCs/>
          <w:sz w:val="32"/>
          <w:szCs w:val="32"/>
          <w:u w:val="none"/>
        </w:rPr>
        <w:t>年1月1日</w:t>
      </w:r>
      <w:r>
        <w:rPr>
          <w:rFonts w:hint="eastAsia" w:ascii="仿宋_GB2312" w:eastAsia="仿宋_GB2312"/>
          <w:bCs/>
          <w:sz w:val="32"/>
          <w:szCs w:val="32"/>
        </w:rPr>
        <w:t>以来）来的校外教育活动特色案例；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839" w:hanging="420"/>
        <w:textAlignment w:val="auto"/>
        <w:rPr>
          <w:rFonts w:hint="eastAsia" w:ascii="仿宋_GB2312" w:eastAsia="仿宋_GB2312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b w:val="0"/>
          <w:bCs/>
          <w:sz w:val="32"/>
          <w:szCs w:val="32"/>
          <w:highlight w:val="none"/>
          <w:lang w:eastAsia="zh-CN"/>
        </w:rPr>
        <w:t>方向</w:t>
      </w:r>
      <w:r>
        <w:rPr>
          <w:rFonts w:hint="eastAsia" w:ascii="仿宋_GB2312" w:eastAsia="仿宋_GB2312"/>
          <w:b w:val="0"/>
          <w:bCs/>
          <w:sz w:val="32"/>
          <w:szCs w:val="32"/>
          <w:highlight w:val="none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259" w:leftChars="0" w:hanging="420" w:firstLineChars="0"/>
        <w:textAlignment w:val="auto"/>
        <w:rPr>
          <w:rFonts w:hint="default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  <w:t>庆祝中国共产党成立一百周年，爱国主义教育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259" w:leftChars="0" w:hanging="420" w:firstLineChars="0"/>
        <w:textAlignment w:val="auto"/>
        <w:rPr>
          <w:rFonts w:hint="default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</w:pPr>
      <w:r>
        <w:rPr>
          <w:rFonts w:hint="default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  <w:t>党史、新中国史、改革开放史、社会主义发展史教育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259" w:leftChars="0" w:hanging="420" w:firstLineChars="0"/>
        <w:textAlignment w:val="auto"/>
        <w:rPr>
          <w:rFonts w:hint="eastAsia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  <w:t>线上活动开展与线上阵地建设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259" w:leftChars="0" w:hanging="420" w:firstLineChars="0"/>
        <w:textAlignment w:val="auto"/>
        <w:rPr>
          <w:rFonts w:hint="eastAsia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  <w:t>“环境友好 儿童友好”少年儿童生态文明教育活动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259" w:leftChars="0" w:hanging="420" w:firstLineChars="0"/>
        <w:textAlignment w:val="auto"/>
        <w:rPr>
          <w:rFonts w:hint="default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  <w:t>少年儿童研学活动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259" w:leftChars="0" w:hanging="420" w:firstLineChars="0"/>
        <w:textAlignment w:val="auto"/>
        <w:rPr>
          <w:rFonts w:hint="eastAsia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  <w:t>少年儿童安全教育和健康教育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259" w:leftChars="0" w:hanging="420" w:firstLineChars="0"/>
        <w:textAlignment w:val="auto"/>
        <w:rPr>
          <w:rFonts w:hint="eastAsia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b w:val="0"/>
          <w:bCs/>
          <w:w w:val="90"/>
          <w:sz w:val="32"/>
          <w:szCs w:val="32"/>
          <w:highlight w:val="none"/>
          <w:lang w:val="en-US" w:eastAsia="zh-CN"/>
        </w:rPr>
        <w:t>基于乡村振兴教育背景的少年儿童关爱服务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hanging="420"/>
        <w:textAlignment w:val="auto"/>
        <w:rPr>
          <w:rFonts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</w:rPr>
        <w:t>字数：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3000</w:t>
      </w:r>
      <w:r>
        <w:rPr>
          <w:rFonts w:hint="eastAsia" w:ascii="仿宋_GB2312" w:eastAsia="仿宋_GB2312"/>
          <w:bCs/>
          <w:sz w:val="32"/>
          <w:szCs w:val="32"/>
        </w:rPr>
        <w:t>字以上。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textAlignment w:val="auto"/>
        <w:rPr>
          <w:rFonts w:ascii="仿宋_GB2312" w:eastAsia="仿宋_GB2312"/>
          <w:b/>
          <w:sz w:val="32"/>
          <w:szCs w:val="32"/>
          <w:highlight w:val="none"/>
        </w:rPr>
      </w:pPr>
      <w:r>
        <w:rPr>
          <w:rFonts w:hint="eastAsia" w:ascii="仿宋_GB2312" w:eastAsia="仿宋_GB2312"/>
          <w:b/>
          <w:sz w:val="32"/>
          <w:szCs w:val="32"/>
          <w:highlight w:val="none"/>
        </w:rPr>
        <w:t>案例展示与宣传平台</w:t>
      </w:r>
    </w:p>
    <w:p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hanging="420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在“双有”年会上面向全国同仁作案例分享（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highlight w:val="none"/>
        </w:rPr>
        <w:t>0分钟/案例）；</w:t>
      </w:r>
    </w:p>
    <w:p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hanging="420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通过“环境友好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 xml:space="preserve"> 儿童友好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”全国少年儿童生态文明教育计划、中国儿童中心儿童研学院等专业平台展示交流；</w:t>
      </w:r>
    </w:p>
    <w:p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839" w:hanging="42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在中国儿童中心官网、</w:t>
      </w:r>
      <w:r>
        <w:rPr>
          <w:rFonts w:hint="eastAsia" w:ascii="仿宋_GB2312" w:eastAsia="仿宋_GB2312"/>
          <w:sz w:val="32"/>
          <w:szCs w:val="32"/>
          <w:lang w:eastAsia="zh-CN"/>
        </w:rPr>
        <w:t>“双有”网站及</w:t>
      </w:r>
      <w:r>
        <w:rPr>
          <w:rFonts w:hint="eastAsia" w:ascii="仿宋_GB2312" w:eastAsia="仿宋_GB2312"/>
          <w:sz w:val="32"/>
          <w:szCs w:val="32"/>
        </w:rPr>
        <w:t>微信</w:t>
      </w:r>
      <w:r>
        <w:rPr>
          <w:rFonts w:hint="eastAsia" w:ascii="仿宋_GB2312" w:eastAsia="仿宋_GB2312"/>
          <w:sz w:val="32"/>
          <w:szCs w:val="32"/>
          <w:lang w:eastAsia="zh-CN"/>
        </w:rPr>
        <w:t>公众号</w:t>
      </w:r>
      <w:r>
        <w:rPr>
          <w:rFonts w:hint="eastAsia" w:ascii="仿宋_GB2312" w:eastAsia="仿宋_GB2312"/>
          <w:sz w:val="32"/>
          <w:szCs w:val="32"/>
        </w:rPr>
        <w:t>等多媒体平台展示；</w:t>
      </w:r>
    </w:p>
    <w:p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839" w:hanging="42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推荐给新华网、人民网、《中国妇女报》、《中国教育报》等主流媒体，作为教育类新闻素材或选题。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textAlignment w:val="auto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案例撰写建议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活动背景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政策解读、</w:t>
      </w:r>
      <w:r>
        <w:rPr>
          <w:rFonts w:hint="eastAsia" w:ascii="仿宋_GB2312" w:eastAsia="仿宋_GB2312"/>
          <w:sz w:val="32"/>
          <w:szCs w:val="32"/>
          <w:lang w:eastAsia="zh-CN"/>
        </w:rPr>
        <w:t>时代背景、</w:t>
      </w:r>
      <w:r>
        <w:rPr>
          <w:rFonts w:hint="eastAsia" w:ascii="仿宋_GB2312" w:eastAsia="仿宋_GB2312"/>
          <w:sz w:val="32"/>
          <w:szCs w:val="32"/>
        </w:rPr>
        <w:t>现实需求分析、机构发展战略等。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b/>
          <w:sz w:val="32"/>
          <w:szCs w:val="32"/>
          <w:highlight w:val="none"/>
        </w:rPr>
      </w:pPr>
      <w:r>
        <w:rPr>
          <w:rFonts w:hint="eastAsia" w:ascii="仿宋_GB2312" w:eastAsia="仿宋_GB2312"/>
          <w:b/>
          <w:sz w:val="32"/>
          <w:szCs w:val="32"/>
          <w:highlight w:val="none"/>
        </w:rPr>
        <w:t>活动基本信息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活动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名称</w:t>
      </w:r>
      <w:r>
        <w:rPr>
          <w:rFonts w:hint="eastAsia" w:ascii="仿宋_GB2312" w:eastAsia="仿宋_GB2312"/>
          <w:sz w:val="32"/>
          <w:szCs w:val="32"/>
          <w:highlight w:val="none"/>
        </w:rPr>
        <w:t>（活动主题）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活动时间与地点（活动的日期及具体活动时长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，地点</w:t>
      </w:r>
      <w:r>
        <w:rPr>
          <w:rFonts w:hint="eastAsia" w:ascii="仿宋_GB2312" w:eastAsia="仿宋_GB2312"/>
          <w:sz w:val="32"/>
          <w:szCs w:val="32"/>
          <w:highlight w:val="none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参与人员及数量（儿童及家长、教师、志愿者等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人员</w:t>
      </w:r>
      <w:r>
        <w:rPr>
          <w:rFonts w:hint="eastAsia" w:ascii="仿宋_GB2312" w:eastAsia="仿宋_GB2312"/>
          <w:sz w:val="32"/>
          <w:szCs w:val="32"/>
          <w:highlight w:val="none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活动目标（预期效果）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活动基本内容或步骤（活动准备、活动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实施</w:t>
      </w:r>
      <w:r>
        <w:rPr>
          <w:rFonts w:hint="eastAsia" w:ascii="仿宋_GB2312" w:eastAsia="仿宋_GB2312"/>
          <w:sz w:val="32"/>
          <w:szCs w:val="32"/>
          <w:highlight w:val="none"/>
        </w:rPr>
        <w:t>过程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，以时间或内容为线索依次说明各个板块和环节的安排，突出策划意图及想法</w:t>
      </w:r>
      <w:r>
        <w:rPr>
          <w:rFonts w:hint="eastAsia" w:ascii="仿宋_GB2312" w:eastAsia="仿宋_GB2312"/>
          <w:sz w:val="32"/>
          <w:szCs w:val="32"/>
          <w:highlight w:val="none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活动评估（参与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人员的</w:t>
      </w:r>
      <w:r>
        <w:rPr>
          <w:rFonts w:hint="eastAsia" w:ascii="仿宋_GB2312" w:eastAsia="仿宋_GB2312"/>
          <w:sz w:val="32"/>
          <w:szCs w:val="32"/>
          <w:highlight w:val="none"/>
        </w:rPr>
        <w:t>反馈、专家及媒体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的</w:t>
      </w:r>
      <w:r>
        <w:rPr>
          <w:rFonts w:hint="eastAsia" w:ascii="仿宋_GB2312" w:eastAsia="仿宋_GB2312"/>
          <w:sz w:val="32"/>
          <w:szCs w:val="32"/>
          <w:highlight w:val="none"/>
        </w:rPr>
        <w:t>社会反响、总结成果、分析特色、反思不足、建议未来）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活动特色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可以从活动目标的设计与定位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教育主题的落地与呈现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活动效果的展示与强化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活动的宣传与推广等方面介绍。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影响力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可以从活动规模、社会关注、媒体报道、整合资源、教育效果等方面来谈。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可持续发展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可以从获得政府</w:t>
      </w:r>
      <w:r>
        <w:rPr>
          <w:rFonts w:hint="eastAsia" w:ascii="仿宋_GB2312" w:eastAsia="仿宋_GB2312"/>
          <w:sz w:val="32"/>
          <w:szCs w:val="32"/>
          <w:lang w:eastAsia="zh-CN"/>
        </w:rPr>
        <w:t>或社会</w:t>
      </w:r>
      <w:r>
        <w:rPr>
          <w:rFonts w:hint="eastAsia" w:ascii="仿宋_GB2312" w:eastAsia="仿宋_GB2312"/>
          <w:sz w:val="32"/>
          <w:szCs w:val="32"/>
        </w:rPr>
        <w:t>支持、获奖或表彰、下一步工作思路等方面来分享。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材料支持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请附上与案例相关图片、报道、数据等资料，以便更加全面地了解案例。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textAlignment w:val="auto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四、</w:t>
      </w:r>
      <w:r>
        <w:rPr>
          <w:rFonts w:hint="eastAsia" w:ascii="仿宋_GB2312" w:eastAsia="仿宋_GB2312"/>
          <w:b/>
          <w:sz w:val="32"/>
          <w:szCs w:val="32"/>
          <w:lang w:eastAsia="zh-CN"/>
        </w:rPr>
        <w:t>案例</w:t>
      </w:r>
      <w:r>
        <w:rPr>
          <w:rFonts w:hint="eastAsia" w:ascii="仿宋_GB2312" w:eastAsia="仿宋_GB2312"/>
          <w:b/>
          <w:sz w:val="32"/>
          <w:szCs w:val="32"/>
        </w:rPr>
        <w:t>材料提交</w:t>
      </w:r>
    </w:p>
    <w:p>
      <w:pPr>
        <w:keepNext w:val="0"/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提交形式：案例以</w:t>
      </w:r>
      <w:r>
        <w:rPr>
          <w:rFonts w:hint="eastAsia" w:ascii="仿宋_GB2312" w:eastAsia="仿宋_GB2312"/>
          <w:b/>
          <w:sz w:val="32"/>
          <w:szCs w:val="32"/>
        </w:rPr>
        <w:t>文稿</w:t>
      </w:r>
      <w:r>
        <w:rPr>
          <w:rFonts w:hint="eastAsia" w:ascii="仿宋_GB2312" w:eastAsia="仿宋_GB2312"/>
          <w:sz w:val="32"/>
          <w:szCs w:val="32"/>
        </w:rPr>
        <w:t>形式提交，撰写要求请见上文。</w:t>
      </w:r>
    </w:p>
    <w:p>
      <w:pPr>
        <w:keepNext w:val="0"/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提交时间： </w:t>
      </w:r>
      <w:r>
        <w:rPr>
          <w:rFonts w:hint="eastAsia" w:ascii="仿宋_GB2312" w:eastAsia="仿宋_GB2312"/>
          <w:b/>
          <w:sz w:val="32"/>
          <w:szCs w:val="32"/>
        </w:rPr>
        <w:t>20</w:t>
      </w:r>
      <w:r>
        <w:rPr>
          <w:rFonts w:hint="eastAsia" w:ascii="仿宋_GB2312" w:eastAsia="仿宋_GB2312"/>
          <w:b/>
          <w:sz w:val="32"/>
          <w:szCs w:val="32"/>
          <w:lang w:val="en-US" w:eastAsia="zh-CN"/>
        </w:rPr>
        <w:t>21</w:t>
      </w:r>
      <w:r>
        <w:rPr>
          <w:rFonts w:hint="eastAsia" w:ascii="仿宋_GB2312" w:eastAsia="仿宋_GB2312"/>
          <w:b/>
          <w:sz w:val="32"/>
          <w:szCs w:val="32"/>
        </w:rPr>
        <w:t>年1</w:t>
      </w:r>
      <w:r>
        <w:rPr>
          <w:rFonts w:hint="eastAsia" w:ascii="仿宋_GB2312" w:eastAsia="仿宋_GB2312"/>
          <w:b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b/>
          <w:sz w:val="32"/>
          <w:szCs w:val="32"/>
        </w:rPr>
        <w:t>月</w:t>
      </w:r>
      <w:r>
        <w:rPr>
          <w:rFonts w:hint="eastAsia" w:ascii="仿宋_GB2312" w:eastAsia="仿宋_GB2312"/>
          <w:b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b/>
          <w:sz w:val="32"/>
          <w:szCs w:val="32"/>
        </w:rPr>
        <w:t>日前</w:t>
      </w:r>
      <w:r>
        <w:rPr>
          <w:rFonts w:hint="eastAsia" w:ascii="仿宋_GB2312" w:eastAsia="仿宋_GB2312"/>
          <w:sz w:val="32"/>
          <w:szCs w:val="32"/>
        </w:rPr>
        <w:t>，将文稿及相关材料（图片、报道、数据等），文件包的名称为：</w:t>
      </w:r>
      <w:r>
        <w:rPr>
          <w:rFonts w:hint="eastAsia" w:ascii="仿宋_GB2312" w:eastAsia="仿宋_GB2312"/>
          <w:sz w:val="32"/>
          <w:szCs w:val="32"/>
          <w:u w:val="single"/>
        </w:rPr>
        <w:t>XX单位</w:t>
      </w:r>
      <w:r>
        <w:rPr>
          <w:rFonts w:hint="eastAsia" w:ascii="仿宋_GB2312" w:eastAsia="仿宋_GB2312"/>
          <w:bCs/>
          <w:sz w:val="32"/>
          <w:szCs w:val="32"/>
          <w:u w:val="single"/>
        </w:rPr>
        <w:t>20</w:t>
      </w:r>
      <w:r>
        <w:rPr>
          <w:rFonts w:hint="eastAsia" w:ascii="仿宋_GB2312" w:eastAsia="仿宋_GB2312"/>
          <w:bCs/>
          <w:sz w:val="32"/>
          <w:szCs w:val="32"/>
          <w:u w:val="single"/>
          <w:lang w:val="en-US" w:eastAsia="zh-CN"/>
        </w:rPr>
        <w:t>21</w:t>
      </w:r>
      <w:r>
        <w:rPr>
          <w:rFonts w:hint="eastAsia" w:ascii="仿宋_GB2312" w:eastAsia="仿宋_GB2312"/>
          <w:bCs/>
          <w:sz w:val="32"/>
          <w:szCs w:val="32"/>
          <w:u w:val="single"/>
        </w:rPr>
        <w:t>年“双有”主题教育活动特色案例</w:t>
      </w:r>
      <w:r>
        <w:rPr>
          <w:rFonts w:hint="eastAsia" w:ascii="仿宋_GB2312" w:eastAsia="仿宋_GB2312"/>
          <w:sz w:val="32"/>
          <w:szCs w:val="32"/>
        </w:rPr>
        <w:t>，发送至“双有”工作邮箱。</w:t>
      </w:r>
    </w:p>
    <w:p>
      <w:pPr>
        <w:keepNext w:val="0"/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特别提示：</w:t>
      </w:r>
      <w:r>
        <w:rPr>
          <w:rFonts w:hint="eastAsia" w:ascii="仿宋_GB2312" w:eastAsia="仿宋_GB2312"/>
          <w:sz w:val="32"/>
          <w:szCs w:val="32"/>
          <w:lang w:eastAsia="zh-CN"/>
        </w:rPr>
        <w:t>报送</w:t>
      </w:r>
      <w:r>
        <w:rPr>
          <w:rFonts w:hint="eastAsia" w:ascii="仿宋_GB2312" w:eastAsia="仿宋_GB2312"/>
          <w:sz w:val="32"/>
          <w:szCs w:val="32"/>
        </w:rPr>
        <w:t>材料时，请在邮件中注明</w:t>
      </w:r>
      <w:r>
        <w:rPr>
          <w:rFonts w:hint="eastAsia" w:ascii="仿宋_GB2312" w:eastAsia="仿宋_GB2312"/>
          <w:b/>
          <w:sz w:val="32"/>
          <w:szCs w:val="32"/>
        </w:rPr>
        <w:t>联系人及联系方式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rPr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附件4:</w:t>
      </w:r>
      <w:r>
        <w:rPr>
          <w:rFonts w:hint="eastAsia"/>
          <w:bCs/>
          <w:sz w:val="32"/>
          <w:szCs w:val="32"/>
        </w:rPr>
        <w:t xml:space="preserve">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b/>
          <w:bCs/>
          <w:sz w:val="36"/>
          <w:szCs w:val="36"/>
          <w:highlight w:val="none"/>
        </w:rPr>
      </w:pPr>
      <w:r>
        <w:rPr>
          <w:rFonts w:hint="eastAsia"/>
          <w:b/>
          <w:bCs/>
          <w:sz w:val="36"/>
          <w:szCs w:val="36"/>
          <w:highlight w:val="none"/>
        </w:rPr>
        <w:t>先进集体、先进个人推荐汇总表</w:t>
      </w:r>
    </w:p>
    <w:tbl>
      <w:tblPr>
        <w:tblStyle w:val="8"/>
        <w:tblpPr w:leftFromText="180" w:rightFromText="180" w:vertAnchor="text" w:horzAnchor="margin" w:tblpX="-356" w:tblpY="470"/>
        <w:tblOverlap w:val="never"/>
        <w:tblW w:w="95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"/>
        <w:gridCol w:w="1701"/>
        <w:gridCol w:w="1641"/>
        <w:gridCol w:w="1095"/>
        <w:gridCol w:w="1515"/>
        <w:gridCol w:w="885"/>
        <w:gridCol w:w="17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9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单位名称</w:t>
            </w:r>
          </w:p>
        </w:tc>
        <w:tc>
          <w:tcPr>
            <w:tcW w:w="334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2"/>
              <w:jc w:val="left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联系人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2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手机</w:t>
            </w:r>
          </w:p>
        </w:tc>
        <w:tc>
          <w:tcPr>
            <w:tcW w:w="17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2"/>
              <w:jc w:val="left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91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先进集体</w:t>
            </w: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申报数量</w:t>
            </w:r>
          </w:p>
        </w:tc>
        <w:tc>
          <w:tcPr>
            <w:tcW w:w="691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91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推荐名单</w:t>
            </w:r>
          </w:p>
        </w:tc>
        <w:tc>
          <w:tcPr>
            <w:tcW w:w="691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2" w:hRule="atLeast"/>
        </w:trPr>
        <w:tc>
          <w:tcPr>
            <w:tcW w:w="91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事迹介绍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（每个集体300字左右）</w:t>
            </w:r>
          </w:p>
        </w:tc>
        <w:tc>
          <w:tcPr>
            <w:tcW w:w="691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1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先进个人</w:t>
            </w: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申报数量</w:t>
            </w:r>
          </w:p>
        </w:tc>
        <w:tc>
          <w:tcPr>
            <w:tcW w:w="691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91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推荐名单</w:t>
            </w:r>
          </w:p>
        </w:tc>
        <w:tc>
          <w:tcPr>
            <w:tcW w:w="691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7" w:hRule="atLeast"/>
        </w:trPr>
        <w:tc>
          <w:tcPr>
            <w:tcW w:w="91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事迹介绍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（每人300字左右）</w:t>
            </w:r>
          </w:p>
        </w:tc>
        <w:tc>
          <w:tcPr>
            <w:tcW w:w="691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rPr>
                <w:rFonts w:ascii="仿宋" w:hAnsi="仿宋" w:eastAsia="仿宋" w:cs="宋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8" w:hRule="atLeast"/>
        </w:trPr>
        <w:tc>
          <w:tcPr>
            <w:tcW w:w="9531" w:type="dxa"/>
            <w:gridSpan w:val="7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推荐单位意见：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 xml:space="preserve">                                                        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 xml:space="preserve">                                                      （加盖公章）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right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 xml:space="preserve">年   月   日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9531" w:type="dxa"/>
            <w:gridSpan w:val="7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rPr>
                <w:rFonts w:ascii="仿宋" w:hAnsi="仿宋" w:eastAsia="仿宋" w:cs="宋体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sz w:val="28"/>
                <w:szCs w:val="28"/>
              </w:rPr>
              <w:t>备注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baseline"/>
        <w:rPr>
          <w:rFonts w:ascii="仿宋_GB2312" w:hAnsi="仿宋" w:eastAsia="仿宋_GB2312"/>
          <w:b/>
          <w:sz w:val="24"/>
          <w:szCs w:val="2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baseline"/>
        <w:rPr>
          <w:rFonts w:ascii="仿宋_GB2312" w:hAnsi="仿宋" w:eastAsia="仿宋_GB2312"/>
          <w:b/>
          <w:sz w:val="28"/>
          <w:szCs w:val="28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baseline"/>
        <w:rPr>
          <w:rFonts w:ascii="仿宋_GB2312" w:hAnsi="仿宋" w:eastAsia="仿宋_GB2312"/>
          <w:b/>
          <w:sz w:val="28"/>
          <w:szCs w:val="28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2" w:firstLineChars="200"/>
        <w:textAlignment w:val="baseline"/>
        <w:rPr>
          <w:rFonts w:ascii="仿宋_GB2312" w:hAnsi="仿宋" w:eastAsia="仿宋_GB2312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【奖项</w:t>
      </w:r>
      <w:r>
        <w:rPr>
          <w:rFonts w:hint="eastAsia" w:ascii="仿宋_GB2312" w:hAnsi="仿宋" w:eastAsia="仿宋_GB2312"/>
          <w:b/>
          <w:sz w:val="28"/>
          <w:szCs w:val="28"/>
        </w:rPr>
        <w:t>说明</w:t>
      </w:r>
      <w:r>
        <w:rPr>
          <w:rFonts w:hint="eastAsia" w:ascii="仿宋" w:hAnsi="仿宋" w:eastAsia="仿宋"/>
          <w:b/>
          <w:sz w:val="28"/>
          <w:szCs w:val="28"/>
        </w:rPr>
        <w:t>】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2" w:firstLineChars="200"/>
        <w:textAlignment w:val="baseline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b/>
          <w:sz w:val="28"/>
          <w:szCs w:val="28"/>
        </w:rPr>
        <w:t>先进集体：</w:t>
      </w:r>
      <w:r>
        <w:rPr>
          <w:rFonts w:hint="eastAsia" w:ascii="仿宋_GB2312" w:hAnsi="仿宋" w:eastAsia="仿宋_GB2312"/>
          <w:sz w:val="28"/>
          <w:szCs w:val="28"/>
        </w:rPr>
        <w:t>该奖项应为在当地校外教育单位组织实施“双有”活动中积极参与至少1项及以上活动的中小学校、幼儿园或社区，活动参与面较广，效果比较明显。各有关单位可结合当地参与活动的单位数量，按照10%的比例推荐上报，原则上每个单位申报数量不超过5个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2" w:firstLineChars="200"/>
        <w:textAlignment w:val="baseline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b/>
          <w:sz w:val="28"/>
          <w:szCs w:val="28"/>
        </w:rPr>
        <w:t>先进个人：</w:t>
      </w:r>
      <w:r>
        <w:rPr>
          <w:rFonts w:hint="eastAsia" w:ascii="仿宋_GB2312" w:hAnsi="仿宋" w:eastAsia="仿宋_GB2312"/>
          <w:sz w:val="28"/>
          <w:szCs w:val="28"/>
        </w:rPr>
        <w:t>该奖项应为在组织落实“双有”活动过程中积极发挥了策划、组织、实施等工作，表现突出，得到组织单位认可，受到儿童欢迎的校外教育工作者、中小学或幼儿园教师、社区工作者。各有关单位可结合工作实际和个人表现，按照10%的比例推荐上报，原则上每个单位申报数量不超过</w:t>
      </w:r>
      <w:r>
        <w:rPr>
          <w:rFonts w:ascii="仿宋_GB2312" w:hAnsi="仿宋" w:eastAsia="仿宋_GB2312"/>
          <w:sz w:val="28"/>
          <w:szCs w:val="28"/>
        </w:rPr>
        <w:t>10</w:t>
      </w:r>
      <w:r>
        <w:rPr>
          <w:rFonts w:hint="eastAsia" w:ascii="仿宋_GB2312" w:hAnsi="仿宋" w:eastAsia="仿宋_GB2312"/>
          <w:sz w:val="28"/>
          <w:szCs w:val="28"/>
        </w:rPr>
        <w:t>名。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</w:pPr>
    </w:p>
    <w:sectPr>
      <w:pgSz w:w="11906" w:h="16838"/>
      <w:pgMar w:top="1134" w:right="1797" w:bottom="1077" w:left="179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173CF7"/>
    <w:multiLevelType w:val="singleLevel"/>
    <w:tmpl w:val="97173CF7"/>
    <w:lvl w:ilvl="0" w:tentative="0">
      <w:start w:val="1"/>
      <w:numFmt w:val="bullet"/>
      <w:lvlText w:val="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1">
    <w:nsid w:val="076A25B1"/>
    <w:multiLevelType w:val="multilevel"/>
    <w:tmpl w:val="076A25B1"/>
    <w:lvl w:ilvl="0" w:tentative="0">
      <w:start w:val="1"/>
      <w:numFmt w:val="decimal"/>
      <w:lvlText w:val="%1."/>
      <w:lvlJc w:val="left"/>
      <w:pPr>
        <w:ind w:left="840" w:hanging="420"/>
      </w:p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">
    <w:nsid w:val="199D5C8A"/>
    <w:multiLevelType w:val="multilevel"/>
    <w:tmpl w:val="199D5C8A"/>
    <w:lvl w:ilvl="0" w:tentative="0">
      <w:start w:val="1"/>
      <w:numFmt w:val="decimal"/>
      <w:lvlText w:val="%1."/>
      <w:lvlJc w:val="left"/>
      <w:pPr>
        <w:ind w:left="840" w:hanging="420"/>
      </w:p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3">
    <w:nsid w:val="34C06AE2"/>
    <w:multiLevelType w:val="multilevel"/>
    <w:tmpl w:val="34C06AE2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D953413"/>
    <w:multiLevelType w:val="multilevel"/>
    <w:tmpl w:val="3D953413"/>
    <w:lvl w:ilvl="0" w:tentative="0">
      <w:start w:val="1"/>
      <w:numFmt w:val="decimal"/>
      <w:lvlText w:val="%1."/>
      <w:lvlJc w:val="left"/>
      <w:pPr>
        <w:ind w:left="840" w:hanging="420"/>
      </w:p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5">
    <w:nsid w:val="45422AE2"/>
    <w:multiLevelType w:val="multilevel"/>
    <w:tmpl w:val="45422AE2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525DF27F"/>
    <w:multiLevelType w:val="singleLevel"/>
    <w:tmpl w:val="525DF27F"/>
    <w:lvl w:ilvl="0" w:tentative="0">
      <w:start w:val="1"/>
      <w:numFmt w:val="chineseCounting"/>
      <w:suff w:val="nothing"/>
      <w:lvlText w:val="%1、"/>
      <w:lvlJc w:val="left"/>
    </w:lvl>
  </w:abstractNum>
  <w:abstractNum w:abstractNumId="7">
    <w:nsid w:val="6F2360DA"/>
    <w:multiLevelType w:val="multilevel"/>
    <w:tmpl w:val="6F2360DA"/>
    <w:lvl w:ilvl="0" w:tentative="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33D9"/>
    <w:rsid w:val="00024C7D"/>
    <w:rsid w:val="00026FA8"/>
    <w:rsid w:val="0003636E"/>
    <w:rsid w:val="00065E8A"/>
    <w:rsid w:val="000D1215"/>
    <w:rsid w:val="000D49C8"/>
    <w:rsid w:val="000D7FE0"/>
    <w:rsid w:val="001827D0"/>
    <w:rsid w:val="001B3E6F"/>
    <w:rsid w:val="001D26D8"/>
    <w:rsid w:val="001E7485"/>
    <w:rsid w:val="0021028A"/>
    <w:rsid w:val="00217A9A"/>
    <w:rsid w:val="00255B92"/>
    <w:rsid w:val="002633D9"/>
    <w:rsid w:val="00283621"/>
    <w:rsid w:val="00287F40"/>
    <w:rsid w:val="002E79AA"/>
    <w:rsid w:val="003921BB"/>
    <w:rsid w:val="003D31BE"/>
    <w:rsid w:val="003F648F"/>
    <w:rsid w:val="00437764"/>
    <w:rsid w:val="004479C0"/>
    <w:rsid w:val="0045192E"/>
    <w:rsid w:val="00457839"/>
    <w:rsid w:val="004833B2"/>
    <w:rsid w:val="00495CFC"/>
    <w:rsid w:val="004973C8"/>
    <w:rsid w:val="004D1A97"/>
    <w:rsid w:val="004D7F06"/>
    <w:rsid w:val="004E56F0"/>
    <w:rsid w:val="004E6DFE"/>
    <w:rsid w:val="004F3310"/>
    <w:rsid w:val="004F39D1"/>
    <w:rsid w:val="005069C8"/>
    <w:rsid w:val="00515C84"/>
    <w:rsid w:val="00565E3C"/>
    <w:rsid w:val="005E0CFE"/>
    <w:rsid w:val="005F12D2"/>
    <w:rsid w:val="005F173C"/>
    <w:rsid w:val="005F41B1"/>
    <w:rsid w:val="00617C39"/>
    <w:rsid w:val="0062024E"/>
    <w:rsid w:val="006516B4"/>
    <w:rsid w:val="0068799F"/>
    <w:rsid w:val="00696174"/>
    <w:rsid w:val="006D7C0C"/>
    <w:rsid w:val="006F1164"/>
    <w:rsid w:val="00707E22"/>
    <w:rsid w:val="00723FD5"/>
    <w:rsid w:val="0072483D"/>
    <w:rsid w:val="00763A41"/>
    <w:rsid w:val="007761FB"/>
    <w:rsid w:val="00782CBA"/>
    <w:rsid w:val="007C578A"/>
    <w:rsid w:val="007D5469"/>
    <w:rsid w:val="007D6BE2"/>
    <w:rsid w:val="008020FB"/>
    <w:rsid w:val="00802A56"/>
    <w:rsid w:val="00823073"/>
    <w:rsid w:val="00823A25"/>
    <w:rsid w:val="008406DF"/>
    <w:rsid w:val="008524B3"/>
    <w:rsid w:val="00892632"/>
    <w:rsid w:val="008B3CFB"/>
    <w:rsid w:val="008C3EAB"/>
    <w:rsid w:val="008C6D1C"/>
    <w:rsid w:val="008D21D5"/>
    <w:rsid w:val="008F6FDE"/>
    <w:rsid w:val="0090011E"/>
    <w:rsid w:val="00915034"/>
    <w:rsid w:val="00926693"/>
    <w:rsid w:val="00955162"/>
    <w:rsid w:val="00956ADC"/>
    <w:rsid w:val="00961E92"/>
    <w:rsid w:val="0096512A"/>
    <w:rsid w:val="009959B1"/>
    <w:rsid w:val="00A62761"/>
    <w:rsid w:val="00A916DA"/>
    <w:rsid w:val="00AC29AA"/>
    <w:rsid w:val="00AC767F"/>
    <w:rsid w:val="00AD3ED0"/>
    <w:rsid w:val="00B1324D"/>
    <w:rsid w:val="00B4349A"/>
    <w:rsid w:val="00B659C7"/>
    <w:rsid w:val="00B81803"/>
    <w:rsid w:val="00B86D55"/>
    <w:rsid w:val="00B93CB3"/>
    <w:rsid w:val="00BB3DFB"/>
    <w:rsid w:val="00C17DC8"/>
    <w:rsid w:val="00C7769F"/>
    <w:rsid w:val="00C82732"/>
    <w:rsid w:val="00CA2108"/>
    <w:rsid w:val="00CB6E60"/>
    <w:rsid w:val="00CE0A36"/>
    <w:rsid w:val="00D236F5"/>
    <w:rsid w:val="00D269F5"/>
    <w:rsid w:val="00D33CA8"/>
    <w:rsid w:val="00D415AA"/>
    <w:rsid w:val="00D6546E"/>
    <w:rsid w:val="00D67EF2"/>
    <w:rsid w:val="00DC1008"/>
    <w:rsid w:val="00DD1727"/>
    <w:rsid w:val="00DD35F0"/>
    <w:rsid w:val="00DD3739"/>
    <w:rsid w:val="00E23CF3"/>
    <w:rsid w:val="00E35C1A"/>
    <w:rsid w:val="00E65FB3"/>
    <w:rsid w:val="00E815CD"/>
    <w:rsid w:val="00EA36DE"/>
    <w:rsid w:val="00EA7075"/>
    <w:rsid w:val="00ED1851"/>
    <w:rsid w:val="00EE71C9"/>
    <w:rsid w:val="00F15438"/>
    <w:rsid w:val="00F935DA"/>
    <w:rsid w:val="00FC7036"/>
    <w:rsid w:val="01182510"/>
    <w:rsid w:val="01D90ADD"/>
    <w:rsid w:val="0271132C"/>
    <w:rsid w:val="02A01C32"/>
    <w:rsid w:val="02A8733D"/>
    <w:rsid w:val="02FC4957"/>
    <w:rsid w:val="03121D20"/>
    <w:rsid w:val="032D29CC"/>
    <w:rsid w:val="04390D60"/>
    <w:rsid w:val="045A1DA0"/>
    <w:rsid w:val="04820860"/>
    <w:rsid w:val="05405DCC"/>
    <w:rsid w:val="05660095"/>
    <w:rsid w:val="06136DB1"/>
    <w:rsid w:val="06517C5C"/>
    <w:rsid w:val="06936FA5"/>
    <w:rsid w:val="06D66991"/>
    <w:rsid w:val="06F11748"/>
    <w:rsid w:val="06F74A17"/>
    <w:rsid w:val="071F2BD2"/>
    <w:rsid w:val="0730039A"/>
    <w:rsid w:val="074809B4"/>
    <w:rsid w:val="07F94FCA"/>
    <w:rsid w:val="08F901A3"/>
    <w:rsid w:val="098B7563"/>
    <w:rsid w:val="0ADB5EF9"/>
    <w:rsid w:val="0B6233DC"/>
    <w:rsid w:val="0BC35546"/>
    <w:rsid w:val="0BE64F22"/>
    <w:rsid w:val="0C283B6A"/>
    <w:rsid w:val="0CE04B7F"/>
    <w:rsid w:val="0CF0488F"/>
    <w:rsid w:val="0D1C0127"/>
    <w:rsid w:val="0E0E6F29"/>
    <w:rsid w:val="0E3A21C7"/>
    <w:rsid w:val="0F0F7C69"/>
    <w:rsid w:val="0FE71423"/>
    <w:rsid w:val="0FF63F17"/>
    <w:rsid w:val="104E440A"/>
    <w:rsid w:val="10726136"/>
    <w:rsid w:val="10BC63CB"/>
    <w:rsid w:val="10C54EC4"/>
    <w:rsid w:val="11996E40"/>
    <w:rsid w:val="11EF011E"/>
    <w:rsid w:val="1210212A"/>
    <w:rsid w:val="1269181C"/>
    <w:rsid w:val="126C7DD8"/>
    <w:rsid w:val="128172C3"/>
    <w:rsid w:val="12AC5FE9"/>
    <w:rsid w:val="1323017C"/>
    <w:rsid w:val="13585585"/>
    <w:rsid w:val="146C0298"/>
    <w:rsid w:val="147F282B"/>
    <w:rsid w:val="14B523A4"/>
    <w:rsid w:val="15264691"/>
    <w:rsid w:val="152A5360"/>
    <w:rsid w:val="153C1D18"/>
    <w:rsid w:val="15482CD1"/>
    <w:rsid w:val="15E91CCC"/>
    <w:rsid w:val="163F1687"/>
    <w:rsid w:val="164D209F"/>
    <w:rsid w:val="16C33095"/>
    <w:rsid w:val="16D95256"/>
    <w:rsid w:val="171262DE"/>
    <w:rsid w:val="172B374A"/>
    <w:rsid w:val="17333036"/>
    <w:rsid w:val="17864FE6"/>
    <w:rsid w:val="17964A0F"/>
    <w:rsid w:val="17F2617E"/>
    <w:rsid w:val="180A0FB6"/>
    <w:rsid w:val="1888034F"/>
    <w:rsid w:val="18D85823"/>
    <w:rsid w:val="18DE3220"/>
    <w:rsid w:val="19A32080"/>
    <w:rsid w:val="19C810C7"/>
    <w:rsid w:val="1A1E3B3E"/>
    <w:rsid w:val="1A383A0C"/>
    <w:rsid w:val="1A497DCA"/>
    <w:rsid w:val="1A5B3B1C"/>
    <w:rsid w:val="1A5E246A"/>
    <w:rsid w:val="1A82059D"/>
    <w:rsid w:val="1B065AE5"/>
    <w:rsid w:val="1B183574"/>
    <w:rsid w:val="1B253794"/>
    <w:rsid w:val="1BF52CAF"/>
    <w:rsid w:val="1C0759F4"/>
    <w:rsid w:val="1CDA570E"/>
    <w:rsid w:val="1CFA5EFB"/>
    <w:rsid w:val="1D52170C"/>
    <w:rsid w:val="1D740C27"/>
    <w:rsid w:val="1E2D36B8"/>
    <w:rsid w:val="1E6C1EF0"/>
    <w:rsid w:val="1EBB2DEB"/>
    <w:rsid w:val="1EF513ED"/>
    <w:rsid w:val="1EFC4C0E"/>
    <w:rsid w:val="1F12370D"/>
    <w:rsid w:val="1F28433B"/>
    <w:rsid w:val="1F2E0F41"/>
    <w:rsid w:val="1F9F3D37"/>
    <w:rsid w:val="1FAC39BA"/>
    <w:rsid w:val="1FF64E5A"/>
    <w:rsid w:val="20501E03"/>
    <w:rsid w:val="20505D8D"/>
    <w:rsid w:val="20691C4F"/>
    <w:rsid w:val="207573DC"/>
    <w:rsid w:val="20CD11F5"/>
    <w:rsid w:val="20E33596"/>
    <w:rsid w:val="21092945"/>
    <w:rsid w:val="212A1E87"/>
    <w:rsid w:val="214D7740"/>
    <w:rsid w:val="21B91E83"/>
    <w:rsid w:val="21BA7ED7"/>
    <w:rsid w:val="224F2521"/>
    <w:rsid w:val="22607B8A"/>
    <w:rsid w:val="226B3B69"/>
    <w:rsid w:val="227D23A8"/>
    <w:rsid w:val="22B4022A"/>
    <w:rsid w:val="22B91780"/>
    <w:rsid w:val="230B2730"/>
    <w:rsid w:val="231E25D8"/>
    <w:rsid w:val="236C75F7"/>
    <w:rsid w:val="239322E4"/>
    <w:rsid w:val="23F24AAC"/>
    <w:rsid w:val="244D367A"/>
    <w:rsid w:val="24643FC8"/>
    <w:rsid w:val="247E2A9F"/>
    <w:rsid w:val="249D1143"/>
    <w:rsid w:val="25912345"/>
    <w:rsid w:val="25F428E5"/>
    <w:rsid w:val="25F74118"/>
    <w:rsid w:val="26262772"/>
    <w:rsid w:val="26447021"/>
    <w:rsid w:val="26A25B76"/>
    <w:rsid w:val="26A83AB0"/>
    <w:rsid w:val="26C114F9"/>
    <w:rsid w:val="26E021E5"/>
    <w:rsid w:val="27406440"/>
    <w:rsid w:val="2747703F"/>
    <w:rsid w:val="27594702"/>
    <w:rsid w:val="27D603C6"/>
    <w:rsid w:val="27FB6095"/>
    <w:rsid w:val="28080805"/>
    <w:rsid w:val="280D7874"/>
    <w:rsid w:val="28873800"/>
    <w:rsid w:val="28B43983"/>
    <w:rsid w:val="28F46A63"/>
    <w:rsid w:val="29566EE4"/>
    <w:rsid w:val="29810078"/>
    <w:rsid w:val="29B0122C"/>
    <w:rsid w:val="2A34671D"/>
    <w:rsid w:val="2A672B48"/>
    <w:rsid w:val="2AA26D73"/>
    <w:rsid w:val="2AAA20C5"/>
    <w:rsid w:val="2ABE5D54"/>
    <w:rsid w:val="2B6215CE"/>
    <w:rsid w:val="2B6A07AF"/>
    <w:rsid w:val="2B924904"/>
    <w:rsid w:val="2BB90D59"/>
    <w:rsid w:val="2C027A44"/>
    <w:rsid w:val="2C2B7216"/>
    <w:rsid w:val="2CA36236"/>
    <w:rsid w:val="2CB00921"/>
    <w:rsid w:val="2CF67CB3"/>
    <w:rsid w:val="2D025C31"/>
    <w:rsid w:val="2D2D4D82"/>
    <w:rsid w:val="2D4876DC"/>
    <w:rsid w:val="2D9B20A8"/>
    <w:rsid w:val="2DFF5D60"/>
    <w:rsid w:val="2E83508A"/>
    <w:rsid w:val="2ECD41D7"/>
    <w:rsid w:val="30115346"/>
    <w:rsid w:val="30180FDB"/>
    <w:rsid w:val="30221CF9"/>
    <w:rsid w:val="302E7756"/>
    <w:rsid w:val="306A750A"/>
    <w:rsid w:val="3092125E"/>
    <w:rsid w:val="30956D68"/>
    <w:rsid w:val="30F510F9"/>
    <w:rsid w:val="310B42B3"/>
    <w:rsid w:val="3185176D"/>
    <w:rsid w:val="320B7B1A"/>
    <w:rsid w:val="323B307A"/>
    <w:rsid w:val="325F420F"/>
    <w:rsid w:val="32D8774A"/>
    <w:rsid w:val="32DD2A3D"/>
    <w:rsid w:val="33227FC3"/>
    <w:rsid w:val="3328621B"/>
    <w:rsid w:val="332F6635"/>
    <w:rsid w:val="338627D4"/>
    <w:rsid w:val="339F1437"/>
    <w:rsid w:val="33CE49D0"/>
    <w:rsid w:val="34937C24"/>
    <w:rsid w:val="35DE7A02"/>
    <w:rsid w:val="3620302F"/>
    <w:rsid w:val="3691415B"/>
    <w:rsid w:val="36D7713D"/>
    <w:rsid w:val="36F138F4"/>
    <w:rsid w:val="37C90A5D"/>
    <w:rsid w:val="38CC7826"/>
    <w:rsid w:val="392D4A78"/>
    <w:rsid w:val="393518B6"/>
    <w:rsid w:val="39BE0896"/>
    <w:rsid w:val="39E037B4"/>
    <w:rsid w:val="3A725049"/>
    <w:rsid w:val="3B4A6A2A"/>
    <w:rsid w:val="3BC26D82"/>
    <w:rsid w:val="3C46535E"/>
    <w:rsid w:val="3C5A7F58"/>
    <w:rsid w:val="3C5E6F46"/>
    <w:rsid w:val="3C7E436D"/>
    <w:rsid w:val="3CB36046"/>
    <w:rsid w:val="3CD91B38"/>
    <w:rsid w:val="3D1A1E5C"/>
    <w:rsid w:val="3D5A2AE4"/>
    <w:rsid w:val="3D7116BC"/>
    <w:rsid w:val="3DCB67FF"/>
    <w:rsid w:val="3DF3172A"/>
    <w:rsid w:val="3E9F694F"/>
    <w:rsid w:val="3EA223EB"/>
    <w:rsid w:val="3EB3640C"/>
    <w:rsid w:val="3F47157B"/>
    <w:rsid w:val="3F9E5714"/>
    <w:rsid w:val="3FDC6791"/>
    <w:rsid w:val="40A2439C"/>
    <w:rsid w:val="41141707"/>
    <w:rsid w:val="412405F9"/>
    <w:rsid w:val="41F12B87"/>
    <w:rsid w:val="41F6248B"/>
    <w:rsid w:val="425E6093"/>
    <w:rsid w:val="42671EC1"/>
    <w:rsid w:val="42AA7EEC"/>
    <w:rsid w:val="42C37799"/>
    <w:rsid w:val="42CC5110"/>
    <w:rsid w:val="42E40B84"/>
    <w:rsid w:val="431E103B"/>
    <w:rsid w:val="43671919"/>
    <w:rsid w:val="43E763BB"/>
    <w:rsid w:val="441B7AAF"/>
    <w:rsid w:val="44794B44"/>
    <w:rsid w:val="447D0BB9"/>
    <w:rsid w:val="44942C4E"/>
    <w:rsid w:val="44C748F2"/>
    <w:rsid w:val="45B23654"/>
    <w:rsid w:val="46080391"/>
    <w:rsid w:val="462C1A14"/>
    <w:rsid w:val="465842BE"/>
    <w:rsid w:val="465A36B2"/>
    <w:rsid w:val="467E6EE6"/>
    <w:rsid w:val="47342F18"/>
    <w:rsid w:val="4743397F"/>
    <w:rsid w:val="478677B3"/>
    <w:rsid w:val="478A7D61"/>
    <w:rsid w:val="485F425E"/>
    <w:rsid w:val="488A3B1C"/>
    <w:rsid w:val="49050810"/>
    <w:rsid w:val="490C1693"/>
    <w:rsid w:val="49430876"/>
    <w:rsid w:val="49471DA9"/>
    <w:rsid w:val="49BE6A14"/>
    <w:rsid w:val="49C21406"/>
    <w:rsid w:val="49EA0ECE"/>
    <w:rsid w:val="49F639F4"/>
    <w:rsid w:val="4A906F71"/>
    <w:rsid w:val="4AA142BE"/>
    <w:rsid w:val="4ABF3D9E"/>
    <w:rsid w:val="4B3444F8"/>
    <w:rsid w:val="4B4F702E"/>
    <w:rsid w:val="4C0341F7"/>
    <w:rsid w:val="4C255D8B"/>
    <w:rsid w:val="4C4A4953"/>
    <w:rsid w:val="4C59524B"/>
    <w:rsid w:val="4C641F9B"/>
    <w:rsid w:val="4C69042A"/>
    <w:rsid w:val="4CA344AB"/>
    <w:rsid w:val="4CB0257A"/>
    <w:rsid w:val="4CE80ECF"/>
    <w:rsid w:val="4D801DE7"/>
    <w:rsid w:val="4E197C90"/>
    <w:rsid w:val="4E1E449E"/>
    <w:rsid w:val="4E231C99"/>
    <w:rsid w:val="4E682ABF"/>
    <w:rsid w:val="4E7B6632"/>
    <w:rsid w:val="4E7F226E"/>
    <w:rsid w:val="4EE07B34"/>
    <w:rsid w:val="4EF912C1"/>
    <w:rsid w:val="4EFC5415"/>
    <w:rsid w:val="4F173D1A"/>
    <w:rsid w:val="4F5811CB"/>
    <w:rsid w:val="4FEB6F17"/>
    <w:rsid w:val="50012E12"/>
    <w:rsid w:val="50626280"/>
    <w:rsid w:val="513934ED"/>
    <w:rsid w:val="517A07BE"/>
    <w:rsid w:val="51D67293"/>
    <w:rsid w:val="51F91889"/>
    <w:rsid w:val="52276A8B"/>
    <w:rsid w:val="52415B7A"/>
    <w:rsid w:val="531E3FB7"/>
    <w:rsid w:val="532A15C3"/>
    <w:rsid w:val="53822537"/>
    <w:rsid w:val="538F3B0F"/>
    <w:rsid w:val="539254B5"/>
    <w:rsid w:val="53996AC3"/>
    <w:rsid w:val="53B06A58"/>
    <w:rsid w:val="53D35B43"/>
    <w:rsid w:val="542832D7"/>
    <w:rsid w:val="545B24B5"/>
    <w:rsid w:val="54847ADA"/>
    <w:rsid w:val="54F91B53"/>
    <w:rsid w:val="56023D8F"/>
    <w:rsid w:val="56436680"/>
    <w:rsid w:val="56952825"/>
    <w:rsid w:val="56DD6A08"/>
    <w:rsid w:val="570952E5"/>
    <w:rsid w:val="576009F0"/>
    <w:rsid w:val="57616A9D"/>
    <w:rsid w:val="577C4CE2"/>
    <w:rsid w:val="57D506DE"/>
    <w:rsid w:val="57F01BD2"/>
    <w:rsid w:val="5808245F"/>
    <w:rsid w:val="58E76E99"/>
    <w:rsid w:val="597D2588"/>
    <w:rsid w:val="59CE0BD5"/>
    <w:rsid w:val="5A607C67"/>
    <w:rsid w:val="5ACD19B8"/>
    <w:rsid w:val="5B1672DA"/>
    <w:rsid w:val="5B167CA5"/>
    <w:rsid w:val="5B5E79AA"/>
    <w:rsid w:val="5BB9449B"/>
    <w:rsid w:val="5BE039BD"/>
    <w:rsid w:val="5C051674"/>
    <w:rsid w:val="5C5C3F6F"/>
    <w:rsid w:val="5C651B3E"/>
    <w:rsid w:val="5DC278E4"/>
    <w:rsid w:val="5DC7777E"/>
    <w:rsid w:val="5E0D7001"/>
    <w:rsid w:val="5E190603"/>
    <w:rsid w:val="5E44463C"/>
    <w:rsid w:val="5E647AB5"/>
    <w:rsid w:val="5E8D2558"/>
    <w:rsid w:val="5EB74067"/>
    <w:rsid w:val="5EF5616C"/>
    <w:rsid w:val="5F1265DD"/>
    <w:rsid w:val="5F292CD3"/>
    <w:rsid w:val="5F767BFF"/>
    <w:rsid w:val="5FAB2059"/>
    <w:rsid w:val="5FC56A54"/>
    <w:rsid w:val="5FF96B9C"/>
    <w:rsid w:val="600C6EAA"/>
    <w:rsid w:val="602D118D"/>
    <w:rsid w:val="60D47177"/>
    <w:rsid w:val="60DD75E7"/>
    <w:rsid w:val="6104561D"/>
    <w:rsid w:val="61A40EBF"/>
    <w:rsid w:val="62201429"/>
    <w:rsid w:val="62217946"/>
    <w:rsid w:val="622705E0"/>
    <w:rsid w:val="625968E5"/>
    <w:rsid w:val="62646F3D"/>
    <w:rsid w:val="63257132"/>
    <w:rsid w:val="63A50114"/>
    <w:rsid w:val="63C8741E"/>
    <w:rsid w:val="63FF2AC4"/>
    <w:rsid w:val="643B7A91"/>
    <w:rsid w:val="64566F74"/>
    <w:rsid w:val="65494D1F"/>
    <w:rsid w:val="656C166B"/>
    <w:rsid w:val="6584756F"/>
    <w:rsid w:val="65CC26D3"/>
    <w:rsid w:val="65D079AA"/>
    <w:rsid w:val="66862C3C"/>
    <w:rsid w:val="66A04AA8"/>
    <w:rsid w:val="66E12E8F"/>
    <w:rsid w:val="67184A4C"/>
    <w:rsid w:val="67311206"/>
    <w:rsid w:val="67641D2E"/>
    <w:rsid w:val="67683345"/>
    <w:rsid w:val="67F3322B"/>
    <w:rsid w:val="68603958"/>
    <w:rsid w:val="68784D59"/>
    <w:rsid w:val="69501ACB"/>
    <w:rsid w:val="69546A73"/>
    <w:rsid w:val="69C33018"/>
    <w:rsid w:val="6A3A5327"/>
    <w:rsid w:val="6A3E6597"/>
    <w:rsid w:val="6A714C9D"/>
    <w:rsid w:val="6A7C3016"/>
    <w:rsid w:val="6B0E2126"/>
    <w:rsid w:val="6B6D1CC4"/>
    <w:rsid w:val="6BA23B21"/>
    <w:rsid w:val="6BB96D66"/>
    <w:rsid w:val="6C186DA7"/>
    <w:rsid w:val="6C642103"/>
    <w:rsid w:val="6D184CC7"/>
    <w:rsid w:val="6D2B5ED2"/>
    <w:rsid w:val="6D926C3B"/>
    <w:rsid w:val="6DA24E34"/>
    <w:rsid w:val="6DED64AD"/>
    <w:rsid w:val="6E56591C"/>
    <w:rsid w:val="6E663043"/>
    <w:rsid w:val="6EDF228F"/>
    <w:rsid w:val="6F4C4EF5"/>
    <w:rsid w:val="6F943069"/>
    <w:rsid w:val="706E64DD"/>
    <w:rsid w:val="70813119"/>
    <w:rsid w:val="70900F78"/>
    <w:rsid w:val="70986CFB"/>
    <w:rsid w:val="70E82B5F"/>
    <w:rsid w:val="712A3FE5"/>
    <w:rsid w:val="714161C8"/>
    <w:rsid w:val="72615375"/>
    <w:rsid w:val="72991932"/>
    <w:rsid w:val="72F96AE2"/>
    <w:rsid w:val="72FE4030"/>
    <w:rsid w:val="73CD72CE"/>
    <w:rsid w:val="73F56A04"/>
    <w:rsid w:val="7440109B"/>
    <w:rsid w:val="74AF6189"/>
    <w:rsid w:val="74CE3A49"/>
    <w:rsid w:val="751373E6"/>
    <w:rsid w:val="754A0B01"/>
    <w:rsid w:val="76784247"/>
    <w:rsid w:val="76C905E7"/>
    <w:rsid w:val="76E025EB"/>
    <w:rsid w:val="76EE711C"/>
    <w:rsid w:val="77B64787"/>
    <w:rsid w:val="77F2635A"/>
    <w:rsid w:val="78094B02"/>
    <w:rsid w:val="784470D4"/>
    <w:rsid w:val="79187BF2"/>
    <w:rsid w:val="7922703F"/>
    <w:rsid w:val="7926061E"/>
    <w:rsid w:val="7B1562C5"/>
    <w:rsid w:val="7B173734"/>
    <w:rsid w:val="7BD574A3"/>
    <w:rsid w:val="7BE927A6"/>
    <w:rsid w:val="7C3B4C36"/>
    <w:rsid w:val="7C3C53B9"/>
    <w:rsid w:val="7C3C6C62"/>
    <w:rsid w:val="7C625B31"/>
    <w:rsid w:val="7CA72F0E"/>
    <w:rsid w:val="7CD90094"/>
    <w:rsid w:val="7D524657"/>
    <w:rsid w:val="7DC72938"/>
    <w:rsid w:val="7DEB447B"/>
    <w:rsid w:val="7E547A48"/>
    <w:rsid w:val="7E8663C8"/>
    <w:rsid w:val="7E9C2EBE"/>
    <w:rsid w:val="7EF707F1"/>
    <w:rsid w:val="7F5B78B9"/>
    <w:rsid w:val="7FAB2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semiHidden/>
    <w:unhideWhenUsed/>
    <w:qFormat/>
    <w:uiPriority w:val="99"/>
    <w:pPr>
      <w:jc w:val="left"/>
    </w:pPr>
  </w:style>
  <w:style w:type="paragraph" w:styleId="4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table" w:styleId="9">
    <w:name w:val="Table Grid"/>
    <w:basedOn w:val="8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basedOn w:val="10"/>
    <w:qFormat/>
    <w:uiPriority w:val="22"/>
    <w:rPr>
      <w:b/>
    </w:rPr>
  </w:style>
  <w:style w:type="character" w:customStyle="1" w:styleId="12">
    <w:name w:val="页眉 Char"/>
    <w:basedOn w:val="10"/>
    <w:link w:val="6"/>
    <w:qFormat/>
    <w:uiPriority w:val="99"/>
    <w:rPr>
      <w:sz w:val="18"/>
      <w:szCs w:val="18"/>
    </w:rPr>
  </w:style>
  <w:style w:type="character" w:customStyle="1" w:styleId="13">
    <w:name w:val="页脚 Char"/>
    <w:basedOn w:val="10"/>
    <w:link w:val="5"/>
    <w:qFormat/>
    <w:uiPriority w:val="99"/>
    <w:rPr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批注框文本 Char"/>
    <w:basedOn w:val="10"/>
    <w:link w:val="4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6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3803</Words>
  <Characters>3988</Characters>
  <Lines>28</Lines>
  <Paragraphs>8</Paragraphs>
  <TotalTime>5</TotalTime>
  <ScaleCrop>false</ScaleCrop>
  <LinksUpToDate>false</LinksUpToDate>
  <CharactersWithSpaces>4181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2019-09-24T09:37:00Z</dcterms:created>
  <dc:creator>zhouying</dc:creator>
  <cp:lastModifiedBy>annie</cp:lastModifiedBy>
  <cp:lastPrinted>2020-09-25T05:31:00Z</cp:lastPrinted>
  <dcterms:modified xsi:type="dcterms:W3CDTF">2021-09-22T09:09:44Z</dcterms:modified>
  <cp:revision>111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E17E39AECB2A4751AFDA9341C647B21F</vt:lpwstr>
  </property>
</Properties>
</file>