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spacing w:line="520" w:lineRule="exact"/>
        <w:jc w:val="left"/>
        <w:rPr>
          <w:rFonts w:ascii="仿宋_GB2312" w:hAnsi="仿宋_GB2312" w:eastAsia="仿宋_GB2312" w:cs="仿宋_GB2312"/>
          <w:b/>
          <w:bCs/>
          <w:color w:val="000000"/>
          <w:kern w:val="0"/>
          <w:sz w:val="31"/>
          <w:szCs w:val="31"/>
          <w:lang w:bidi="ar"/>
        </w:rPr>
      </w:pPr>
      <w:r>
        <w:rPr>
          <w:rFonts w:ascii="仿宋_GB2312" w:hAnsi="仿宋_GB2312" w:eastAsia="仿宋_GB2312" w:cs="仿宋_GB2312"/>
          <w:b/>
          <w:bCs/>
          <w:color w:val="000000"/>
          <w:kern w:val="0"/>
          <w:sz w:val="31"/>
          <w:szCs w:val="31"/>
          <w:lang w:bidi="ar"/>
        </w:rPr>
        <w:t>附件</w:t>
      </w:r>
      <w:r>
        <w:rPr>
          <w:rFonts w:hint="eastAsia" w:ascii="仿宋_GB2312" w:hAnsi="仿宋_GB2312" w:eastAsia="仿宋_GB2312" w:cs="仿宋_GB2312"/>
          <w:b/>
          <w:bCs/>
          <w:color w:val="000000"/>
          <w:kern w:val="0"/>
          <w:sz w:val="31"/>
          <w:szCs w:val="31"/>
          <w:lang w:bidi="ar"/>
        </w:rPr>
        <w:t>2</w:t>
      </w:r>
      <w:r>
        <w:rPr>
          <w:rFonts w:ascii="仿宋_GB2312" w:hAnsi="仿宋_GB2312" w:eastAsia="仿宋_GB2312" w:cs="仿宋_GB2312"/>
          <w:b/>
          <w:bCs/>
          <w:color w:val="000000"/>
          <w:kern w:val="0"/>
          <w:sz w:val="31"/>
          <w:szCs w:val="31"/>
          <w:lang w:bidi="ar"/>
        </w:rPr>
        <w:t>：</w:t>
      </w:r>
    </w:p>
    <w:p>
      <w:pPr>
        <w:widowControl/>
        <w:adjustRightInd w:val="0"/>
        <w:snapToGrid w:val="0"/>
        <w:spacing w:line="520" w:lineRule="exact"/>
        <w:jc w:val="left"/>
        <w:rPr>
          <w:rFonts w:ascii="仿宋_GB2312" w:hAnsi="仿宋_GB2312" w:eastAsia="仿宋_GB2312" w:cs="仿宋_GB2312"/>
          <w:b/>
          <w:bCs/>
          <w:color w:val="000000"/>
          <w:kern w:val="0"/>
          <w:sz w:val="31"/>
          <w:szCs w:val="31"/>
          <w:lang w:bidi="ar"/>
        </w:rPr>
      </w:pPr>
    </w:p>
    <w:p>
      <w:pPr>
        <w:adjustRightInd w:val="0"/>
        <w:snapToGrid w:val="0"/>
        <w:spacing w:line="520" w:lineRule="exact"/>
        <w:jc w:val="center"/>
        <w:rPr>
          <w:rFonts w:ascii="方正小标宋简体" w:hAnsi="方正小标宋简体" w:eastAsia="方正小标宋简体" w:cs="方正小标宋简体"/>
          <w:b/>
          <w:bCs/>
          <w:sz w:val="44"/>
          <w:szCs w:val="52"/>
        </w:rPr>
      </w:pPr>
      <w:r>
        <w:rPr>
          <w:rFonts w:hint="eastAsia" w:ascii="方正小标宋简体" w:hAnsi="方正小标宋简体" w:eastAsia="方正小标宋简体" w:cs="方正小标宋简体"/>
          <w:b/>
          <w:bCs/>
          <w:sz w:val="44"/>
          <w:szCs w:val="52"/>
        </w:rPr>
        <w:t>中国儿童中心儿童人工智能教育研究院</w:t>
      </w:r>
    </w:p>
    <w:p>
      <w:pPr>
        <w:adjustRightInd w:val="0"/>
        <w:snapToGrid w:val="0"/>
        <w:spacing w:line="520" w:lineRule="exact"/>
        <w:jc w:val="center"/>
        <w:rPr>
          <w:rFonts w:ascii="宋体" w:hAnsi="宋体" w:eastAsia="宋体" w:cs="宋体"/>
          <w:b/>
          <w:bCs/>
          <w:sz w:val="44"/>
          <w:szCs w:val="52"/>
        </w:rPr>
      </w:pPr>
      <w:r>
        <w:rPr>
          <w:rFonts w:hint="eastAsia" w:ascii="方正小标宋简体" w:hAnsi="方正小标宋简体" w:eastAsia="方正小标宋简体" w:cs="方正小标宋简体"/>
          <w:b/>
          <w:bCs/>
          <w:sz w:val="44"/>
          <w:szCs w:val="52"/>
        </w:rPr>
        <w:t>202</w:t>
      </w:r>
      <w:r>
        <w:rPr>
          <w:rFonts w:ascii="Cambria" w:hAnsi="Cambria" w:eastAsia="方正小标宋简体" w:cs="方正小标宋简体"/>
          <w:b/>
          <w:bCs/>
          <w:sz w:val="44"/>
          <w:szCs w:val="52"/>
        </w:rPr>
        <w:t>4</w:t>
      </w:r>
      <w:r>
        <w:rPr>
          <w:rFonts w:hint="eastAsia" w:ascii="方正小标宋简体" w:hAnsi="方正小标宋简体" w:eastAsia="方正小标宋简体" w:cs="方正小标宋简体"/>
          <w:b/>
          <w:bCs/>
          <w:sz w:val="44"/>
          <w:szCs w:val="52"/>
        </w:rPr>
        <w:t>年度课题指南</w:t>
      </w:r>
    </w:p>
    <w:p>
      <w:pPr>
        <w:adjustRightInd w:val="0"/>
        <w:snapToGrid w:val="0"/>
        <w:spacing w:line="520" w:lineRule="exact"/>
        <w:ind w:firstLine="560" w:firstLineChars="200"/>
        <w:rPr>
          <w:rFonts w:ascii="宋体" w:hAnsi="宋体" w:eastAsia="宋体" w:cs="宋体"/>
          <w:sz w:val="28"/>
          <w:szCs w:val="28"/>
        </w:rPr>
      </w:pP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全面贯彻党的教育方针，落实立德树人根本任务，推动《数字中国建设整体布局规划》《中共中央关于制定国民经济和社会发展第十四个五年规划和二〇三五年远景目标的建议》《新一代人工智能发展规划》等重要政策文件执行，切实发挥科研在中国儿童中心儿童人工智能教育研究院（简称：研究院）工作中的先导作用，以党的二十大报告中关于教育、科技、人才协同发展的论述为指导，按照研究院的发展方向，结合当前儿童人工智能教育的热点和趋势，特制定本指南。</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以下是课题申请的范围，可以作为课题题目进行研究，也可以基于课题范围自拟相关题目进行研究：</w:t>
      </w:r>
    </w:p>
    <w:p>
      <w:pPr>
        <w:adjustRightInd w:val="0"/>
        <w:snapToGrid w:val="0"/>
        <w:spacing w:line="52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一、儿童人工智能教育平台与产品研究</w:t>
      </w:r>
    </w:p>
    <w:p>
      <w:pPr>
        <w:adjustRightInd w:val="0"/>
        <w:snapToGrid w:val="0"/>
        <w:spacing w:line="52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.儿童人工智能教育平台与产品的国际比较研究</w:t>
      </w:r>
    </w:p>
    <w:p>
      <w:pPr>
        <w:adjustRightInd w:val="0"/>
        <w:snapToGrid w:val="0"/>
        <w:spacing w:line="52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.儿童人工智能教育实验室建设研究</w:t>
      </w:r>
    </w:p>
    <w:p>
      <w:pPr>
        <w:adjustRightInd w:val="0"/>
        <w:snapToGrid w:val="0"/>
        <w:spacing w:line="52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.儿童人工智能教育科普展厅建设研究</w:t>
      </w:r>
    </w:p>
    <w:p>
      <w:pPr>
        <w:adjustRightInd w:val="0"/>
        <w:snapToGrid w:val="0"/>
        <w:spacing w:line="52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.一体化儿童人工智能教育课程平台研究</w:t>
      </w:r>
    </w:p>
    <w:p>
      <w:pPr>
        <w:adjustRightInd w:val="0"/>
        <w:snapToGrid w:val="0"/>
        <w:spacing w:line="52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5</w:t>
      </w:r>
      <w:r>
        <w:rPr>
          <w:rFonts w:hint="eastAsia" w:ascii="仿宋_GB2312" w:hAnsi="仿宋_GB2312" w:eastAsia="仿宋_GB2312" w:cs="仿宋_GB2312"/>
          <w:sz w:val="32"/>
          <w:szCs w:val="32"/>
        </w:rPr>
        <w:t>.面向人工智能的儿童编程教育产品研究</w:t>
      </w:r>
    </w:p>
    <w:p>
      <w:pPr>
        <w:adjustRightInd w:val="0"/>
        <w:snapToGrid w:val="0"/>
        <w:spacing w:line="520" w:lineRule="exact"/>
        <w:ind w:firstLine="640" w:firstLineChars="200"/>
      </w:pPr>
      <w:r>
        <w:rPr>
          <w:rFonts w:ascii="仿宋_GB2312" w:hAnsi="仿宋_GB2312" w:eastAsia="仿宋_GB2312" w:cs="仿宋_GB2312"/>
          <w:sz w:val="32"/>
          <w:szCs w:val="32"/>
        </w:rPr>
        <w:t>6</w:t>
      </w:r>
      <w:r>
        <w:rPr>
          <w:rFonts w:hint="eastAsia" w:ascii="仿宋_GB2312" w:hAnsi="仿宋_GB2312" w:eastAsia="仿宋_GB2312" w:cs="仿宋_GB2312"/>
          <w:sz w:val="32"/>
          <w:szCs w:val="32"/>
        </w:rPr>
        <w:t>.儿童人工智能教育产品的选择与评价研究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ascii="仿宋_GB2312" w:hAnsi="仿宋_GB2312" w:eastAsia="仿宋_GB2312" w:cs="仿宋_GB2312"/>
          <w:sz w:val="32"/>
          <w:szCs w:val="32"/>
          <w:lang w:val="en-US" w:eastAsia="zh-CN"/>
        </w:rPr>
        <w:t>人工智能算力虚拟化产品开发研究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ascii="仿宋_GB2312" w:hAnsi="仿宋_GB2312" w:eastAsia="仿宋_GB2312" w:cs="仿宋_GB2312"/>
          <w:sz w:val="32"/>
          <w:szCs w:val="32"/>
          <w:lang w:val="en-US" w:eastAsia="zh-CN"/>
        </w:rPr>
        <w:t>人工智能学习平台开发研究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ascii="仿宋_GB2312" w:hAnsi="仿宋_GB2312" w:eastAsia="仿宋_GB2312" w:cs="仿宋_GB2312"/>
          <w:sz w:val="32"/>
          <w:szCs w:val="32"/>
          <w:lang w:val="en-US" w:eastAsia="zh-CN"/>
        </w:rPr>
        <w:t>人工智能实验室开源算力管理平台建设研究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ascii="仿宋_GB2312" w:hAnsi="仿宋_GB2312" w:eastAsia="仿宋_GB2312" w:cs="仿宋_GB2312"/>
          <w:sz w:val="32"/>
          <w:szCs w:val="32"/>
          <w:lang w:val="en-US" w:eastAsia="zh-CN"/>
        </w:rPr>
        <w:t>可视化深度学习模型训练辅助学习工具的开发研究</w:t>
      </w:r>
    </w:p>
    <w:p>
      <w:pPr>
        <w:adjustRightInd w:val="0"/>
        <w:snapToGrid w:val="0"/>
        <w:spacing w:line="520" w:lineRule="exact"/>
        <w:ind w:firstLine="640" w:firstLineChars="200"/>
        <w:rPr>
          <w:rFonts w:hint="eastAsia" w:ascii="仿宋_GB2312" w:hAnsi="仿宋_GB2312" w:eastAsia="仿宋_GB2312" w:cs="仿宋_GB2312"/>
          <w:sz w:val="32"/>
          <w:szCs w:val="32"/>
        </w:rPr>
      </w:pPr>
    </w:p>
    <w:p>
      <w:pPr>
        <w:adjustRightInd w:val="0"/>
        <w:snapToGrid w:val="0"/>
        <w:spacing w:line="52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二、儿童人工智能教育课程与资源研究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儿童人工智能教育课程开发模式研究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.基于开源硬件的儿童人工智能教育课程研究</w:t>
      </w:r>
    </w:p>
    <w:p>
      <w:pPr>
        <w:adjustRightInd w:val="0"/>
        <w:snapToGrid w:val="0"/>
        <w:spacing w:line="5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儿童智能机器人教育课程研究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.人工智能取向的儿童STEM课程研究</w:t>
      </w:r>
    </w:p>
    <w:p>
      <w:pPr>
        <w:adjustRightInd w:val="0"/>
        <w:snapToGrid w:val="0"/>
        <w:spacing w:line="5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.不插电儿童人工智能课程研究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.面向乡村儿童的人工智能教育资源库研究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.生成式人工智能的儿童教育应用研究</w:t>
      </w:r>
    </w:p>
    <w:p>
      <w:pPr>
        <w:adjustRightInd w:val="0"/>
        <w:snapToGrid w:val="0"/>
        <w:spacing w:line="520" w:lineRule="exact"/>
        <w:ind w:firstLine="640" w:firstLineChars="200"/>
      </w:pPr>
      <w:r>
        <w:rPr>
          <w:rFonts w:hint="eastAsia" w:ascii="仿宋_GB2312" w:hAnsi="仿宋_GB2312" w:eastAsia="仿宋_GB2312" w:cs="仿宋_GB2312"/>
          <w:sz w:val="32"/>
          <w:szCs w:val="32"/>
          <w:lang w:val="en-US" w:eastAsia="zh-CN"/>
        </w:rPr>
        <w:t>8</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儿童人工智能教育数字出版物研究</w:t>
      </w:r>
    </w:p>
    <w:p>
      <w:pPr>
        <w:adjustRightInd w:val="0"/>
        <w:snapToGrid w:val="0"/>
        <w:spacing w:line="52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9.面向真实问题解决的人工智能课程开发研究</w:t>
      </w:r>
    </w:p>
    <w:p>
      <w:pPr>
        <w:adjustRightInd w:val="0"/>
        <w:snapToGrid w:val="0"/>
        <w:spacing w:line="52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10.低算力环境下的深度学习课程设计</w:t>
      </w:r>
    </w:p>
    <w:p>
      <w:pPr>
        <w:adjustRightInd w:val="0"/>
        <w:snapToGrid w:val="0"/>
        <w:spacing w:line="52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11.AI4Science视域下的校本课程开发研究</w:t>
      </w:r>
    </w:p>
    <w:p>
      <w:pPr>
        <w:adjustRightInd w:val="0"/>
        <w:snapToGrid w:val="0"/>
        <w:spacing w:line="52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12.开源人工智能课程资源库的建设研究</w:t>
      </w:r>
    </w:p>
    <w:p>
      <w:pPr>
        <w:adjustRightInd w:val="0"/>
        <w:snapToGrid w:val="0"/>
        <w:spacing w:line="520" w:lineRule="exact"/>
        <w:ind w:firstLine="640" w:firstLineChars="200"/>
      </w:pPr>
      <w:r>
        <w:rPr>
          <w:rFonts w:hint="eastAsia" w:ascii="仿宋_GB2312" w:hAnsi="仿宋_GB2312" w:eastAsia="仿宋_GB2312" w:cs="仿宋_GB2312"/>
          <w:sz w:val="32"/>
          <w:szCs w:val="32"/>
          <w:lang w:val="en-US" w:eastAsia="zh-CN"/>
        </w:rPr>
        <w:t>13.面向人工智能的新劳动教育课程开发研究</w:t>
      </w:r>
    </w:p>
    <w:p>
      <w:pPr>
        <w:adjustRightInd w:val="0"/>
        <w:snapToGrid w:val="0"/>
        <w:spacing w:line="52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14.面向拔尖创新人才培养的人工智能课程开发研究</w:t>
      </w:r>
    </w:p>
    <w:p>
      <w:pPr>
        <w:adjustRightInd w:val="0"/>
        <w:snapToGrid w:val="0"/>
        <w:spacing w:line="52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15.生成式人工智能与课程资源开发研究</w:t>
      </w:r>
    </w:p>
    <w:p>
      <w:pPr>
        <w:adjustRightInd w:val="0"/>
        <w:snapToGrid w:val="0"/>
        <w:spacing w:line="520" w:lineRule="exact"/>
        <w:ind w:firstLine="640" w:firstLineChars="200"/>
        <w:rPr>
          <w:rFonts w:ascii="仿宋_GB2312" w:hAnsi="仿宋_GB2312" w:eastAsia="仿宋_GB2312" w:cs="仿宋_GB2312"/>
          <w:sz w:val="32"/>
          <w:szCs w:val="32"/>
        </w:rPr>
      </w:pPr>
    </w:p>
    <w:p>
      <w:pPr>
        <w:adjustRightInd w:val="0"/>
        <w:snapToGrid w:val="0"/>
        <w:spacing w:line="52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三、儿童人工智能教育教学与评价研究</w:t>
      </w:r>
    </w:p>
    <w:p>
      <w:pPr>
        <w:adjustRightInd w:val="0"/>
        <w:snapToGrid w:val="0"/>
        <w:spacing w:line="52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.儿童人工智能素养发展评价研究</w:t>
      </w:r>
    </w:p>
    <w:p>
      <w:pPr>
        <w:adjustRightInd w:val="0"/>
        <w:snapToGrid w:val="0"/>
        <w:spacing w:line="5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2.儿童计算思维评价研究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儿童数字智能产品使用与身心发展研究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儿童数字智能产品使用与身心健康状况研究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.儿童人工智能教育的混合式学习研究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.儿童人工智能教育教学质量评价研究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.面向人工智能的儿童编程教学法研究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与家庭教育整合的儿童人工智能教育研究</w:t>
      </w:r>
    </w:p>
    <w:p>
      <w:pPr>
        <w:adjustRightInd w:val="0"/>
        <w:snapToGrid w:val="0"/>
        <w:spacing w:line="5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.健康可持续的儿童人工智能教育教学活动研究</w:t>
      </w:r>
    </w:p>
    <w:p>
      <w:pPr>
        <w:adjustRightInd w:val="0"/>
        <w:snapToGrid w:val="0"/>
        <w:spacing w:line="520" w:lineRule="exact"/>
        <w:ind w:firstLine="640" w:firstLineChars="200"/>
        <w:rPr>
          <w:rFonts w:ascii="仿宋_GB2312" w:hAnsi="仿宋_GB2312" w:eastAsia="仿宋_GB2312" w:cs="仿宋_GB2312"/>
          <w:sz w:val="32"/>
          <w:szCs w:val="32"/>
        </w:rPr>
      </w:pPr>
    </w:p>
    <w:p>
      <w:pPr>
        <w:adjustRightInd w:val="0"/>
        <w:snapToGrid w:val="0"/>
        <w:spacing w:line="52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四、儿童人工智能教育师资研究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1.儿童人工智能教师的课程开发能力发展研究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2.儿童人工智能教师的TPACK测评研究</w:t>
      </w:r>
    </w:p>
    <w:p>
      <w:pPr>
        <w:adjustRightInd w:val="0"/>
        <w:snapToGrid w:val="0"/>
        <w:spacing w:line="52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.儿童人工智能教师的评价素养研究</w:t>
      </w:r>
    </w:p>
    <w:p>
      <w:pPr>
        <w:adjustRightInd w:val="0"/>
        <w:snapToGrid w:val="0"/>
        <w:spacing w:line="52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.儿童人工智能教育教师专业发展路径研究</w:t>
      </w:r>
    </w:p>
    <w:p>
      <w:pPr>
        <w:adjustRightInd w:val="0"/>
        <w:snapToGrid w:val="0"/>
        <w:spacing w:line="52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5</w:t>
      </w:r>
      <w:r>
        <w:rPr>
          <w:rFonts w:hint="eastAsia" w:ascii="仿宋_GB2312" w:hAnsi="仿宋_GB2312" w:eastAsia="仿宋_GB2312" w:cs="仿宋_GB2312"/>
          <w:sz w:val="32"/>
          <w:szCs w:val="32"/>
        </w:rPr>
        <w:t>.儿童人工智能教育师资培训课程研究</w:t>
      </w:r>
    </w:p>
    <w:p>
      <w:pPr>
        <w:adjustRightInd w:val="0"/>
        <w:snapToGrid w:val="0"/>
        <w:spacing w:line="520" w:lineRule="exact"/>
        <w:ind w:firstLine="640" w:firstLineChars="200"/>
      </w:pPr>
      <w:r>
        <w:rPr>
          <w:rFonts w:hint="eastAsia" w:ascii="仿宋_GB2312" w:hAnsi="仿宋_GB2312" w:eastAsia="仿宋_GB2312" w:cs="仿宋_GB2312"/>
          <w:sz w:val="32"/>
          <w:szCs w:val="32"/>
        </w:rPr>
        <w:t>6</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儿童人工智能教育中的差异化教学能力研究</w:t>
      </w:r>
    </w:p>
    <w:p>
      <w:pPr>
        <w:adjustRightInd w:val="0"/>
        <w:snapToGrid w:val="0"/>
        <w:spacing w:line="52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7.师范生人工智能教育课程建设研究</w:t>
      </w:r>
    </w:p>
    <w:p>
      <w:pPr>
        <w:adjustRightInd w:val="0"/>
        <w:snapToGrid w:val="0"/>
        <w:spacing w:line="52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8.乡村教师儿童人工智能教育教师专业发展研究</w:t>
      </w:r>
    </w:p>
    <w:p>
      <w:pPr>
        <w:adjustRightInd w:val="0"/>
        <w:snapToGrid w:val="0"/>
        <w:spacing w:line="520" w:lineRule="exact"/>
        <w:ind w:firstLine="640" w:firstLineChars="200"/>
        <w:rPr>
          <w:rFonts w:hint="eastAsia" w:ascii="仿宋_GB2312" w:hAnsi="仿宋_GB2312" w:eastAsia="仿宋_GB2312" w:cs="仿宋_GB2312"/>
          <w:sz w:val="32"/>
          <w:szCs w:val="32"/>
        </w:rPr>
      </w:pPr>
    </w:p>
    <w:p>
      <w:pPr>
        <w:adjustRightInd w:val="0"/>
        <w:snapToGrid w:val="0"/>
        <w:spacing w:line="52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五、校外教育机构数字化转型发展研究</w:t>
      </w:r>
    </w:p>
    <w:p>
      <w:pPr>
        <w:adjustRightInd w:val="0"/>
        <w:snapToGrid w:val="0"/>
        <w:spacing w:line="52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.校外教育数字化转型的理论研究</w:t>
      </w:r>
    </w:p>
    <w:p>
      <w:pPr>
        <w:adjustRightInd w:val="0"/>
        <w:snapToGrid w:val="0"/>
        <w:spacing w:line="52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.国内国际校外教育数字化转型的现状研究</w:t>
      </w:r>
    </w:p>
    <w:p>
      <w:pPr>
        <w:adjustRightInd w:val="0"/>
        <w:snapToGrid w:val="0"/>
        <w:spacing w:line="52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.校外教育机构数字化成熟度研究</w:t>
      </w:r>
    </w:p>
    <w:p>
      <w:pPr>
        <w:adjustRightInd w:val="0"/>
        <w:snapToGrid w:val="0"/>
        <w:spacing w:line="52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.校外教育机构数字化转型的路径研究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5.校外教育机构数字化转型的政策研究</w:t>
      </w:r>
    </w:p>
    <w:p>
      <w:pPr>
        <w:adjustRightInd w:val="0"/>
        <w:snapToGrid w:val="0"/>
        <w:spacing w:line="5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6.校外教育机构数字化转型的区域治理研究</w:t>
      </w:r>
    </w:p>
    <w:p>
      <w:pPr>
        <w:adjustRightInd w:val="0"/>
        <w:snapToGrid w:val="0"/>
        <w:spacing w:line="52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7.青少年教育场馆数字化建设研究</w:t>
      </w:r>
    </w:p>
    <w:p>
      <w:pPr>
        <w:adjustRightInd w:val="0"/>
        <w:snapToGrid w:val="0"/>
        <w:spacing w:line="52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8.学习能力数字化训练对学习成绩干预的研究</w:t>
      </w:r>
    </w:p>
    <w:p>
      <w:pPr>
        <w:adjustRightInd w:val="0"/>
        <w:snapToGrid w:val="0"/>
        <w:spacing w:line="520" w:lineRule="exact"/>
        <w:ind w:firstLine="640" w:firstLineChars="200"/>
        <w:rPr>
          <w:rFonts w:ascii="仿宋_GB2312" w:hAnsi="仿宋_GB2312" w:eastAsia="仿宋_GB2312" w:cs="仿宋_GB2312"/>
          <w:sz w:val="32"/>
          <w:szCs w:val="32"/>
        </w:rPr>
      </w:pPr>
    </w:p>
    <w:p>
      <w:pPr>
        <w:adjustRightInd w:val="0"/>
        <w:snapToGrid w:val="0"/>
        <w:spacing w:line="52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六、其他研究</w:t>
      </w:r>
    </w:p>
    <w:p>
      <w:pPr>
        <w:adjustRightInd w:val="0"/>
        <w:snapToGrid w:val="0"/>
        <w:spacing w:line="520" w:lineRule="exact"/>
        <w:ind w:firstLine="640" w:firstLineChars="200"/>
      </w:pPr>
      <w:r>
        <w:rPr>
          <w:rFonts w:hint="eastAsia" w:ascii="仿宋_GB2312" w:hAnsi="仿宋_GB2312" w:eastAsia="仿宋_GB2312" w:cs="仿宋_GB2312"/>
          <w:sz w:val="32"/>
          <w:szCs w:val="32"/>
        </w:rPr>
        <w:t>1.儿童人工智能教育领域的赛事研究</w:t>
      </w:r>
    </w:p>
    <w:p>
      <w:pPr>
        <w:adjustRightInd w:val="0"/>
        <w:snapToGrid w:val="0"/>
        <w:spacing w:line="52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2.人工智能领域的科创活动设计研究</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.其他自拟题目</w:t>
      </w:r>
    </w:p>
    <w:p>
      <w:pPr>
        <w:adjustRightInd w:val="0"/>
        <w:snapToGrid w:val="0"/>
        <w:spacing w:line="520" w:lineRule="exact"/>
        <w:ind w:firstLine="640" w:firstLineChars="200"/>
        <w:rPr>
          <w:rFonts w:hint="eastAsia" w:ascii="仿宋_GB2312" w:hAnsi="仿宋_GB2312" w:eastAsia="仿宋_GB2312" w:cs="仿宋_GB2312"/>
          <w:sz w:val="32"/>
          <w:szCs w:val="32"/>
        </w:rPr>
      </w:pPr>
    </w:p>
    <w:p>
      <w:pPr>
        <w:adjustRightInd w:val="0"/>
        <w:snapToGrid w:val="0"/>
        <w:spacing w:line="520" w:lineRule="exact"/>
        <w:rPr>
          <w:rFonts w:hint="eastAsia" w:ascii="仿宋_GB2312" w:hAnsi="仿宋_GB2312" w:eastAsia="仿宋_GB2312" w:cs="仿宋_GB2312"/>
          <w:sz w:val="32"/>
          <w:szCs w:val="32"/>
        </w:rPr>
      </w:pPr>
    </w:p>
    <w:p>
      <w:pPr>
        <w:adjustRightInd w:val="0"/>
        <w:snapToGrid w:val="0"/>
        <w:spacing w:line="520" w:lineRule="exac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说明：</w:t>
      </w:r>
    </w:p>
    <w:p>
      <w:pPr>
        <w:adjustRightInd w:val="0"/>
        <w:snapToGrid w:val="0"/>
        <w:spacing w:line="520" w:lineRule="exac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1.本指南中的儿童，按照发展心理学惯例和联合国儿基会界定指十八岁以下的少年儿童。</w:t>
      </w:r>
    </w:p>
    <w:p>
      <w:pPr>
        <w:adjustRightInd w:val="0"/>
        <w:snapToGrid w:val="0"/>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各申报单位可根据您感兴趣的课题，或者结合您单位的优势，自拟题目，申报研究院课题立项。</w:t>
      </w:r>
    </w:p>
    <w:p>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00000001" w:usb1="08000000" w:usb2="00000000" w:usb3="00000000" w:csb0="00040000" w:csb1="00000000"/>
  </w:font>
  <w:font w:name="Cambria">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53554113"/>
      <w:docPartObj>
        <w:docPartGallery w:val="autotext"/>
      </w:docPartObj>
    </w:sdtPr>
    <w:sdtContent>
      <w:p>
        <w:pPr>
          <w:pStyle w:val="3"/>
          <w:jc w:val="center"/>
        </w:pPr>
        <w:r>
          <w:fldChar w:fldCharType="begin"/>
        </w:r>
        <w:r>
          <w:instrText xml:space="preserve">PAGE   \* MERGEFORMAT</w:instrText>
        </w:r>
        <w:r>
          <w:fldChar w:fldCharType="separate"/>
        </w:r>
        <w:r>
          <w:rPr>
            <w:lang w:val="zh-CN"/>
          </w:rPr>
          <w:t>2</w:t>
        </w:r>
        <w: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RjODhkYWJhNWNhOWFlYWM1NTAxOTY1N2QxNWM3MTcifQ=="/>
  </w:docVars>
  <w:rsids>
    <w:rsidRoot w:val="259A6428"/>
    <w:rsid w:val="000150B3"/>
    <w:rsid w:val="00032011"/>
    <w:rsid w:val="00032EF5"/>
    <w:rsid w:val="00053E73"/>
    <w:rsid w:val="000724BC"/>
    <w:rsid w:val="000A6072"/>
    <w:rsid w:val="000D0498"/>
    <w:rsid w:val="000D133C"/>
    <w:rsid w:val="000D4B3F"/>
    <w:rsid w:val="000E0E63"/>
    <w:rsid w:val="000E6619"/>
    <w:rsid w:val="000F68C9"/>
    <w:rsid w:val="000F69E0"/>
    <w:rsid w:val="00111F6B"/>
    <w:rsid w:val="0011302A"/>
    <w:rsid w:val="0012233B"/>
    <w:rsid w:val="00147353"/>
    <w:rsid w:val="00172B0C"/>
    <w:rsid w:val="00182131"/>
    <w:rsid w:val="00183CD1"/>
    <w:rsid w:val="001F532D"/>
    <w:rsid w:val="002353C2"/>
    <w:rsid w:val="002945BF"/>
    <w:rsid w:val="002A4F82"/>
    <w:rsid w:val="00311800"/>
    <w:rsid w:val="00315B3F"/>
    <w:rsid w:val="0035752B"/>
    <w:rsid w:val="003608B3"/>
    <w:rsid w:val="00382AFA"/>
    <w:rsid w:val="003B7981"/>
    <w:rsid w:val="003C741F"/>
    <w:rsid w:val="00423D5E"/>
    <w:rsid w:val="004312C9"/>
    <w:rsid w:val="004454D9"/>
    <w:rsid w:val="00493246"/>
    <w:rsid w:val="00495A53"/>
    <w:rsid w:val="004A1450"/>
    <w:rsid w:val="004B72E6"/>
    <w:rsid w:val="004C0A64"/>
    <w:rsid w:val="004C335B"/>
    <w:rsid w:val="004E397A"/>
    <w:rsid w:val="00521E72"/>
    <w:rsid w:val="00527899"/>
    <w:rsid w:val="00565AB3"/>
    <w:rsid w:val="005668C0"/>
    <w:rsid w:val="0058517A"/>
    <w:rsid w:val="005A080A"/>
    <w:rsid w:val="005A3DCD"/>
    <w:rsid w:val="005D4EB8"/>
    <w:rsid w:val="005F075F"/>
    <w:rsid w:val="006072B7"/>
    <w:rsid w:val="006163EA"/>
    <w:rsid w:val="00625123"/>
    <w:rsid w:val="0063311B"/>
    <w:rsid w:val="00636505"/>
    <w:rsid w:val="00640359"/>
    <w:rsid w:val="006458CA"/>
    <w:rsid w:val="00650621"/>
    <w:rsid w:val="0066118D"/>
    <w:rsid w:val="00665E53"/>
    <w:rsid w:val="0068185F"/>
    <w:rsid w:val="0069643E"/>
    <w:rsid w:val="006C156E"/>
    <w:rsid w:val="006C4D73"/>
    <w:rsid w:val="006D6C63"/>
    <w:rsid w:val="00710A8B"/>
    <w:rsid w:val="0071511C"/>
    <w:rsid w:val="00725243"/>
    <w:rsid w:val="0074355D"/>
    <w:rsid w:val="00743F3D"/>
    <w:rsid w:val="00745831"/>
    <w:rsid w:val="00745A7E"/>
    <w:rsid w:val="007479DD"/>
    <w:rsid w:val="00770055"/>
    <w:rsid w:val="00786BD7"/>
    <w:rsid w:val="007A154F"/>
    <w:rsid w:val="007A7DB9"/>
    <w:rsid w:val="007D05B5"/>
    <w:rsid w:val="007F32E2"/>
    <w:rsid w:val="00805876"/>
    <w:rsid w:val="00811A6B"/>
    <w:rsid w:val="008343D8"/>
    <w:rsid w:val="00857D6C"/>
    <w:rsid w:val="00862AE4"/>
    <w:rsid w:val="00866C79"/>
    <w:rsid w:val="008730E3"/>
    <w:rsid w:val="00897E99"/>
    <w:rsid w:val="008B0DA1"/>
    <w:rsid w:val="008C3E53"/>
    <w:rsid w:val="008C602F"/>
    <w:rsid w:val="008D21A7"/>
    <w:rsid w:val="00905354"/>
    <w:rsid w:val="00906638"/>
    <w:rsid w:val="0092314D"/>
    <w:rsid w:val="009348D7"/>
    <w:rsid w:val="00937DAB"/>
    <w:rsid w:val="00961E13"/>
    <w:rsid w:val="00964447"/>
    <w:rsid w:val="00972D3B"/>
    <w:rsid w:val="00981A59"/>
    <w:rsid w:val="00983A3E"/>
    <w:rsid w:val="009A19DC"/>
    <w:rsid w:val="009B6807"/>
    <w:rsid w:val="009F0122"/>
    <w:rsid w:val="009F4ADD"/>
    <w:rsid w:val="00A004D3"/>
    <w:rsid w:val="00A07B6B"/>
    <w:rsid w:val="00A347A5"/>
    <w:rsid w:val="00A50911"/>
    <w:rsid w:val="00A54106"/>
    <w:rsid w:val="00A7661F"/>
    <w:rsid w:val="00A8021D"/>
    <w:rsid w:val="00AA7A9E"/>
    <w:rsid w:val="00B03573"/>
    <w:rsid w:val="00B619A5"/>
    <w:rsid w:val="00B62568"/>
    <w:rsid w:val="00B72229"/>
    <w:rsid w:val="00B90325"/>
    <w:rsid w:val="00B910D9"/>
    <w:rsid w:val="00BA1C10"/>
    <w:rsid w:val="00BE0AC7"/>
    <w:rsid w:val="00BE661A"/>
    <w:rsid w:val="00C05480"/>
    <w:rsid w:val="00C11A81"/>
    <w:rsid w:val="00C12B05"/>
    <w:rsid w:val="00C34C28"/>
    <w:rsid w:val="00C43FA4"/>
    <w:rsid w:val="00C453BB"/>
    <w:rsid w:val="00C5275D"/>
    <w:rsid w:val="00C77952"/>
    <w:rsid w:val="00C86714"/>
    <w:rsid w:val="00C92732"/>
    <w:rsid w:val="00CA57C6"/>
    <w:rsid w:val="00CA5B4C"/>
    <w:rsid w:val="00CA6815"/>
    <w:rsid w:val="00CB0E9B"/>
    <w:rsid w:val="00CC08F3"/>
    <w:rsid w:val="00CC1628"/>
    <w:rsid w:val="00CC2698"/>
    <w:rsid w:val="00CC5229"/>
    <w:rsid w:val="00CF3D9E"/>
    <w:rsid w:val="00CF520E"/>
    <w:rsid w:val="00D2007A"/>
    <w:rsid w:val="00D34799"/>
    <w:rsid w:val="00D36515"/>
    <w:rsid w:val="00D4009D"/>
    <w:rsid w:val="00D41F48"/>
    <w:rsid w:val="00D41FDD"/>
    <w:rsid w:val="00D447A1"/>
    <w:rsid w:val="00D447A6"/>
    <w:rsid w:val="00D502CF"/>
    <w:rsid w:val="00D53F50"/>
    <w:rsid w:val="00D8384B"/>
    <w:rsid w:val="00DC004D"/>
    <w:rsid w:val="00DD1B3E"/>
    <w:rsid w:val="00DE7C05"/>
    <w:rsid w:val="00DF32B3"/>
    <w:rsid w:val="00DF69C5"/>
    <w:rsid w:val="00E146D1"/>
    <w:rsid w:val="00E15588"/>
    <w:rsid w:val="00E24754"/>
    <w:rsid w:val="00E26915"/>
    <w:rsid w:val="00E6105E"/>
    <w:rsid w:val="00E62EAC"/>
    <w:rsid w:val="00E63739"/>
    <w:rsid w:val="00E724EF"/>
    <w:rsid w:val="00E75BED"/>
    <w:rsid w:val="00E928FD"/>
    <w:rsid w:val="00E97ABD"/>
    <w:rsid w:val="00EC2EEA"/>
    <w:rsid w:val="00EC6FD3"/>
    <w:rsid w:val="00EC7F55"/>
    <w:rsid w:val="00ED6F0F"/>
    <w:rsid w:val="00EE0D14"/>
    <w:rsid w:val="00F02B3B"/>
    <w:rsid w:val="00F04B7E"/>
    <w:rsid w:val="00F05CE5"/>
    <w:rsid w:val="00F07978"/>
    <w:rsid w:val="00F14ECE"/>
    <w:rsid w:val="00F15338"/>
    <w:rsid w:val="00F715FC"/>
    <w:rsid w:val="00F731DF"/>
    <w:rsid w:val="00F7569F"/>
    <w:rsid w:val="00F96C51"/>
    <w:rsid w:val="00FC6C19"/>
    <w:rsid w:val="02ED0A5A"/>
    <w:rsid w:val="08421777"/>
    <w:rsid w:val="18CD050C"/>
    <w:rsid w:val="259A6428"/>
    <w:rsid w:val="408C638D"/>
    <w:rsid w:val="48DD5A55"/>
    <w:rsid w:val="4A033D69"/>
    <w:rsid w:val="4BD51D96"/>
    <w:rsid w:val="683D6D90"/>
    <w:rsid w:val="79DF78CC"/>
    <w:rsid w:val="7EE36F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link w:val="11"/>
    <w:autoRedefine/>
    <w:qFormat/>
    <w:uiPriority w:val="0"/>
    <w:pPr>
      <w:jc w:val="left"/>
    </w:pPr>
  </w:style>
  <w:style w:type="paragraph" w:styleId="3">
    <w:name w:val="footer"/>
    <w:basedOn w:val="1"/>
    <w:link w:val="13"/>
    <w:autoRedefine/>
    <w:qFormat/>
    <w:uiPriority w:val="99"/>
    <w:pPr>
      <w:tabs>
        <w:tab w:val="center" w:pos="4153"/>
        <w:tab w:val="right" w:pos="8306"/>
      </w:tabs>
      <w:snapToGrid w:val="0"/>
      <w:jc w:val="left"/>
    </w:pPr>
    <w:rPr>
      <w:sz w:val="18"/>
    </w:rPr>
  </w:style>
  <w:style w:type="paragraph" w:styleId="4">
    <w:name w:val="header"/>
    <w:basedOn w:val="1"/>
    <w:link w:val="10"/>
    <w:autoRedefine/>
    <w:qFormat/>
    <w:uiPriority w:val="0"/>
    <w:pPr>
      <w:tabs>
        <w:tab w:val="center" w:pos="4153"/>
        <w:tab w:val="right" w:pos="8306"/>
      </w:tabs>
      <w:snapToGrid w:val="0"/>
      <w:jc w:val="center"/>
    </w:pPr>
    <w:rPr>
      <w:sz w:val="18"/>
      <w:szCs w:val="18"/>
    </w:rPr>
  </w:style>
  <w:style w:type="paragraph" w:styleId="5">
    <w:name w:val="annotation subject"/>
    <w:basedOn w:val="2"/>
    <w:next w:val="2"/>
    <w:link w:val="12"/>
    <w:autoRedefine/>
    <w:qFormat/>
    <w:uiPriority w:val="0"/>
    <w:rPr>
      <w:b/>
      <w:bCs/>
    </w:rPr>
  </w:style>
  <w:style w:type="character" w:styleId="8">
    <w:name w:val="Strong"/>
    <w:basedOn w:val="7"/>
    <w:autoRedefine/>
    <w:qFormat/>
    <w:uiPriority w:val="0"/>
    <w:rPr>
      <w:b/>
    </w:rPr>
  </w:style>
  <w:style w:type="character" w:styleId="9">
    <w:name w:val="annotation reference"/>
    <w:basedOn w:val="7"/>
    <w:autoRedefine/>
    <w:qFormat/>
    <w:uiPriority w:val="0"/>
    <w:rPr>
      <w:sz w:val="21"/>
      <w:szCs w:val="21"/>
    </w:rPr>
  </w:style>
  <w:style w:type="character" w:customStyle="1" w:styleId="10">
    <w:name w:val="页眉 字符"/>
    <w:basedOn w:val="7"/>
    <w:link w:val="4"/>
    <w:autoRedefine/>
    <w:qFormat/>
    <w:uiPriority w:val="0"/>
    <w:rPr>
      <w:kern w:val="2"/>
      <w:sz w:val="18"/>
      <w:szCs w:val="18"/>
    </w:rPr>
  </w:style>
  <w:style w:type="character" w:customStyle="1" w:styleId="11">
    <w:name w:val="批注文字 字符"/>
    <w:basedOn w:val="7"/>
    <w:link w:val="2"/>
    <w:autoRedefine/>
    <w:qFormat/>
    <w:uiPriority w:val="0"/>
    <w:rPr>
      <w:kern w:val="2"/>
      <w:sz w:val="21"/>
      <w:szCs w:val="24"/>
    </w:rPr>
  </w:style>
  <w:style w:type="character" w:customStyle="1" w:styleId="12">
    <w:name w:val="批注主题 字符"/>
    <w:basedOn w:val="11"/>
    <w:link w:val="5"/>
    <w:autoRedefine/>
    <w:qFormat/>
    <w:uiPriority w:val="0"/>
    <w:rPr>
      <w:b/>
      <w:bCs/>
      <w:kern w:val="2"/>
      <w:sz w:val="21"/>
      <w:szCs w:val="24"/>
    </w:rPr>
  </w:style>
  <w:style w:type="character" w:customStyle="1" w:styleId="13">
    <w:name w:val="页脚 字符"/>
    <w:basedOn w:val="7"/>
    <w:link w:val="3"/>
    <w:autoRedefine/>
    <w:qFormat/>
    <w:uiPriority w:val="99"/>
    <w:rPr>
      <w:kern w:val="2"/>
      <w:sz w:val="18"/>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168</Words>
  <Characters>963</Characters>
  <Lines>8</Lines>
  <Paragraphs>2</Paragraphs>
  <TotalTime>50</TotalTime>
  <ScaleCrop>false</ScaleCrop>
  <LinksUpToDate>false</LinksUpToDate>
  <CharactersWithSpaces>1129</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2023-01-13T02:15:00Z</dcterms:created>
  <dc:creator>花儿们</dc:creator>
  <cp:lastModifiedBy>花儿们</cp:lastModifiedBy>
  <cp:lastPrinted>2024-01-27T01:29:00Z</cp:lastPrinted>
  <dcterms:modified xsi:type="dcterms:W3CDTF">2024-02-01T01:42:09Z</dcterms:modified>
  <cp:revision>184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2E1D89AFFA67472CABFBD28A14B721A7_13</vt:lpwstr>
  </property>
</Properties>
</file>